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sz w:val="84"/>
        </w:rPr>
      </w:pPr>
    </w:p>
    <w:p>
      <w:pPr>
        <w:widowControl/>
        <w:jc w:val="center"/>
        <w:rPr>
          <w:rFonts w:ascii="宋体"/>
          <w:sz w:val="84"/>
        </w:rPr>
      </w:pPr>
      <w:r>
        <w:rPr>
          <w:rFonts w:hint="eastAsia" w:ascii="宋体"/>
          <w:sz w:val="84"/>
        </w:rPr>
        <w:t>询比价文件</w:t>
      </w:r>
    </w:p>
    <w:p>
      <w:pPr>
        <w:spacing w:line="360" w:lineRule="atLeast"/>
        <w:jc w:val="center"/>
        <w:rPr>
          <w:sz w:val="32"/>
        </w:rPr>
      </w:pPr>
    </w:p>
    <w:p>
      <w:pPr>
        <w:spacing w:line="360" w:lineRule="atLeast"/>
        <w:jc w:val="center"/>
        <w:rPr>
          <w:sz w:val="32"/>
        </w:rPr>
      </w:pPr>
    </w:p>
    <w:p>
      <w:pPr>
        <w:spacing w:line="360" w:lineRule="atLeast"/>
        <w:jc w:val="center"/>
        <w:rPr>
          <w:sz w:val="32"/>
        </w:rPr>
      </w:pPr>
    </w:p>
    <w:p>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spacing w:line="360" w:lineRule="atLeast"/>
              <w:jc w:val="right"/>
              <w:rPr>
                <w:rFonts w:ascii="宋体"/>
                <w:sz w:val="32"/>
              </w:rPr>
            </w:pPr>
            <w:r>
              <w:rPr>
                <w:rFonts w:hint="eastAsia"/>
                <w:sz w:val="32"/>
              </w:rPr>
              <w:t>询比价编号：</w:t>
            </w:r>
          </w:p>
        </w:tc>
        <w:tc>
          <w:tcPr>
            <w:tcW w:w="5159" w:type="dxa"/>
          </w:tcPr>
          <w:p>
            <w:pPr>
              <w:spacing w:line="360" w:lineRule="atLeast"/>
              <w:rPr>
                <w:rFonts w:ascii="宋体"/>
                <w:sz w:val="32"/>
              </w:rPr>
            </w:pPr>
            <w:r>
              <w:rPr>
                <w:rFonts w:hint="eastAsia" w:ascii="宋体"/>
                <w:sz w:val="32"/>
              </w:rPr>
              <w:t>CXJJXBJ-2023-013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spacing w:line="360" w:lineRule="atLeast"/>
              <w:jc w:val="right"/>
              <w:rPr>
                <w:rFonts w:ascii="宋体"/>
                <w:sz w:val="32"/>
              </w:rPr>
            </w:pPr>
            <w:r>
              <w:rPr>
                <w:rFonts w:hint="eastAsia"/>
                <w:sz w:val="32"/>
              </w:rPr>
              <w:t>项目名称：</w:t>
            </w:r>
          </w:p>
        </w:tc>
        <w:tc>
          <w:tcPr>
            <w:tcW w:w="5159" w:type="dxa"/>
          </w:tcPr>
          <w:p>
            <w:pPr>
              <w:spacing w:line="360" w:lineRule="atLeast"/>
              <w:rPr>
                <w:rFonts w:ascii="宋体"/>
                <w:sz w:val="32"/>
              </w:rPr>
            </w:pPr>
            <w:r>
              <w:rPr>
                <w:rFonts w:hint="eastAsia" w:ascii="宋体"/>
                <w:sz w:val="32"/>
              </w:rPr>
              <w:t>基于工业机器人的钣金机匣焊缝自动化打磨技术研究</w:t>
            </w:r>
          </w:p>
        </w:tc>
      </w:tr>
    </w:tbl>
    <w:p>
      <w:pPr>
        <w:spacing w:line="360" w:lineRule="atLeast"/>
        <w:rPr>
          <w:rFonts w:ascii="宋体"/>
          <w:sz w:val="32"/>
        </w:rPr>
      </w:pPr>
      <w:bookmarkStart w:id="33" w:name="_GoBack"/>
      <w:bookmarkEnd w:id="33"/>
    </w:p>
    <w:p/>
    <w:p>
      <w:pPr>
        <w:spacing w:line="480" w:lineRule="exact"/>
      </w:pPr>
    </w:p>
    <w:p/>
    <w:p/>
    <w:p/>
    <w:p/>
    <w:p/>
    <w:p/>
    <w:p/>
    <w:p/>
    <w:p>
      <w:pPr>
        <w:spacing w:before="240"/>
        <w:jc w:val="center"/>
        <w:rPr>
          <w:spacing w:val="20"/>
          <w:sz w:val="32"/>
        </w:rPr>
      </w:pPr>
    </w:p>
    <w:p>
      <w:pPr>
        <w:spacing w:before="240"/>
        <w:jc w:val="center"/>
        <w:rPr>
          <w:rFonts w:ascii="宋体" w:hAnsi="宋体"/>
          <w:b/>
          <w:bCs/>
          <w:sz w:val="36"/>
          <w:szCs w:val="36"/>
        </w:rPr>
      </w:pPr>
      <w:r>
        <w:rPr>
          <w:rFonts w:hint="eastAsia" w:ascii="宋体" w:hAnsi="宋体"/>
          <w:b/>
          <w:bCs/>
          <w:sz w:val="36"/>
          <w:szCs w:val="36"/>
        </w:rPr>
        <w:t>中国航发航空科技股份有限公司</w:t>
      </w:r>
    </w:p>
    <w:p>
      <w:pPr>
        <w:widowControl/>
        <w:jc w:val="center"/>
        <w:rPr>
          <w:spacing w:val="20"/>
          <w:sz w:val="32"/>
        </w:rPr>
      </w:pPr>
      <w:r>
        <w:rPr>
          <w:b/>
          <w:spacing w:val="20"/>
          <w:sz w:val="32"/>
        </w:rPr>
        <w:t>2023</w:t>
      </w:r>
      <w:r>
        <w:rPr>
          <w:rFonts w:hint="eastAsia"/>
          <w:b/>
          <w:spacing w:val="20"/>
          <w:sz w:val="32"/>
        </w:rPr>
        <w:t>年09月</w:t>
      </w:r>
      <w:r>
        <w:rPr>
          <w:spacing w:val="20"/>
          <w:sz w:val="32"/>
        </w:rPr>
        <w:br w:type="page"/>
      </w:r>
    </w:p>
    <w:p>
      <w:pPr>
        <w:spacing w:before="240"/>
        <w:jc w:val="center"/>
        <w:rPr>
          <w:spacing w:val="20"/>
          <w:sz w:val="32"/>
        </w:rPr>
        <w:sectPr>
          <w:footerReference r:id="rId3" w:type="default"/>
          <w:footerReference r:id="rId4" w:type="even"/>
          <w:pgSz w:w="11906" w:h="16838"/>
          <w:pgMar w:top="1440" w:right="1797" w:bottom="1440" w:left="1797" w:header="851" w:footer="992" w:gutter="0"/>
          <w:cols w:space="425" w:num="1"/>
          <w:titlePg/>
          <w:docGrid w:type="lines" w:linePitch="312" w:charSpace="0"/>
        </w:sectPr>
      </w:pPr>
    </w:p>
    <w:p>
      <w:pPr>
        <w:pStyle w:val="2"/>
        <w:numPr>
          <w:ilvl w:val="0"/>
          <w:numId w:val="0"/>
        </w:numPr>
        <w:ind w:left="480"/>
        <w:jc w:val="center"/>
      </w:pPr>
      <w:r>
        <w:rPr>
          <w:rFonts w:hint="eastAsia"/>
        </w:rPr>
        <w:t>第一部分 项目概况</w:t>
      </w:r>
    </w:p>
    <w:p>
      <w:pPr>
        <w:spacing w:line="360" w:lineRule="auto"/>
        <w:rPr>
          <w:rFonts w:ascii="宋体" w:hAnsi="宋体" w:cs="Arial"/>
          <w:sz w:val="24"/>
        </w:rPr>
      </w:pPr>
      <w:r>
        <w:rPr>
          <w:sz w:val="24"/>
        </w:rPr>
        <w:t>1.</w:t>
      </w:r>
      <w:r>
        <w:rPr>
          <w:rFonts w:hint="eastAsia"/>
          <w:sz w:val="24"/>
        </w:rPr>
        <w:t xml:space="preserve"> 项</w:t>
      </w:r>
      <w:r>
        <w:rPr>
          <w:rFonts w:hint="eastAsia" w:ascii="宋体" w:hAnsi="宋体" w:cs="Arial"/>
          <w:sz w:val="24"/>
        </w:rPr>
        <w:t>目名称：</w:t>
      </w:r>
      <w:r>
        <w:rPr>
          <w:rFonts w:hint="eastAsia" w:ascii="Arial" w:hAnsi="宋体" w:cs="Arial"/>
          <w:sz w:val="24"/>
        </w:rPr>
        <w:t>基于工业机器人的钣金机匣焊缝自动化打磨技术研究</w:t>
      </w:r>
    </w:p>
    <w:p>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pPr>
        <w:tabs>
          <w:tab w:val="left" w:pos="1080"/>
        </w:tabs>
        <w:spacing w:line="360" w:lineRule="auto"/>
        <w:rPr>
          <w:rFonts w:ascii="宋体" w:hAnsi="宋体"/>
          <w:sz w:val="24"/>
        </w:rPr>
      </w:pPr>
      <w:r>
        <w:rPr>
          <w:sz w:val="24"/>
        </w:rPr>
        <w:t>3.</w:t>
      </w:r>
      <w:r>
        <w:rPr>
          <w:rFonts w:hint="eastAsia"/>
          <w:sz w:val="24"/>
        </w:rPr>
        <w:t xml:space="preserve"> </w:t>
      </w:r>
      <w:r>
        <w:rPr>
          <w:rFonts w:hint="eastAsia" w:ascii="宋体" w:hAnsi="宋体"/>
          <w:sz w:val="24"/>
        </w:rPr>
        <w:t>服务周期及付款方式：</w:t>
      </w:r>
    </w:p>
    <w:p>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 xml:space="preserve"> 服务周期：2024年10月之前。</w:t>
      </w:r>
    </w:p>
    <w:p>
      <w:pPr>
        <w:tabs>
          <w:tab w:val="left" w:pos="1080"/>
          <w:tab w:val="left" w:pos="8280"/>
        </w:tabs>
        <w:suppressAutoHyphens/>
        <w:spacing w:line="360" w:lineRule="auto"/>
        <w:rPr>
          <w:rFonts w:ascii="Arial" w:hAnsi="宋体" w:cs="Arial"/>
          <w:sz w:val="24"/>
        </w:rPr>
      </w:pPr>
      <w:r>
        <w:rPr>
          <w:rFonts w:ascii="Arial" w:hAnsi="宋体" w:cs="Arial"/>
          <w:sz w:val="24"/>
        </w:rPr>
        <w:t>3.2</w:t>
      </w:r>
      <w:r>
        <w:rPr>
          <w:rFonts w:hint="eastAsia" w:ascii="Arial" w:hAnsi="宋体" w:cs="Arial"/>
          <w:sz w:val="24"/>
        </w:rPr>
        <w:t xml:space="preserve"> </w:t>
      </w:r>
      <w:r>
        <w:rPr>
          <w:rFonts w:ascii="Arial" w:hAnsi="宋体" w:cs="Arial"/>
          <w:sz w:val="24"/>
        </w:rPr>
        <w:t>付款方式:</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 xml:space="preserve"> 合同签订生效后，预付合同总额的</w:t>
      </w:r>
      <w:r>
        <w:rPr>
          <w:rFonts w:ascii="Arial" w:hAnsi="宋体" w:cs="Arial"/>
          <w:sz w:val="24"/>
        </w:rPr>
        <w:t>40%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w:t>
      </w:r>
      <w:r>
        <w:rPr>
          <w:rFonts w:ascii="Arial" w:hAnsi="宋体" w:cs="Arial"/>
          <w:sz w:val="24"/>
        </w:rPr>
        <w:t>30%</w:t>
      </w:r>
      <w:r>
        <w:rPr>
          <w:rFonts w:hint="eastAsia" w:ascii="Arial" w:hAnsi="宋体" w:cs="Arial"/>
          <w:sz w:val="24"/>
        </w:rPr>
        <w:t>；</w:t>
      </w:r>
    </w:p>
    <w:p>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 xml:space="preserve"> 项目通过最终验收后付合同总额的</w:t>
      </w:r>
      <w:r>
        <w:rPr>
          <w:rFonts w:ascii="Arial" w:hAnsi="宋体" w:cs="Arial"/>
          <w:sz w:val="24"/>
        </w:rPr>
        <w:t>30%</w:t>
      </w:r>
      <w:r>
        <w:rPr>
          <w:rFonts w:hint="eastAsia" w:ascii="Arial" w:hAnsi="宋体" w:cs="Arial"/>
          <w:sz w:val="24"/>
        </w:rPr>
        <w:t>。</w:t>
      </w:r>
    </w:p>
    <w:p>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pPr>
        <w:tabs>
          <w:tab w:val="left" w:pos="360"/>
        </w:tabs>
        <w:spacing w:line="360" w:lineRule="auto"/>
        <w:rPr>
          <w:sz w:val="24"/>
        </w:rPr>
      </w:pPr>
      <w:r>
        <w:rPr>
          <w:sz w:val="24"/>
        </w:rPr>
        <w:t xml:space="preserve">5. </w:t>
      </w:r>
      <w:r>
        <w:rPr>
          <w:rFonts w:hint="eastAsia"/>
          <w:sz w:val="24"/>
        </w:rPr>
        <w:t>招标方：中国航发航空科技股份有限公司</w:t>
      </w:r>
    </w:p>
    <w:p>
      <w:pPr>
        <w:tabs>
          <w:tab w:val="left" w:pos="360"/>
        </w:tabs>
        <w:spacing w:line="360" w:lineRule="auto"/>
        <w:rPr>
          <w:sz w:val="24"/>
        </w:rPr>
      </w:pPr>
      <w:r>
        <w:rPr>
          <w:sz w:val="24"/>
        </w:rPr>
        <w:t>6.</w:t>
      </w:r>
      <w:r>
        <w:rPr>
          <w:rFonts w:hint="eastAsia"/>
          <w:sz w:val="24"/>
        </w:rPr>
        <w:t xml:space="preserve"> 验收地点：</w:t>
      </w:r>
      <w:r>
        <w:rPr>
          <w:rFonts w:hint="eastAsia" w:ascii="宋体" w:hAnsi="宋体"/>
          <w:bCs/>
          <w:sz w:val="24"/>
        </w:rPr>
        <w:t>四川省成都市新都区蜀龙大道南段成发工业园。</w:t>
      </w:r>
    </w:p>
    <w:p>
      <w:pPr>
        <w:tabs>
          <w:tab w:val="left" w:pos="360"/>
        </w:tabs>
        <w:spacing w:line="360" w:lineRule="auto"/>
        <w:rPr>
          <w:rFonts w:ascii="宋体" w:hAnsi="宋体" w:cs="宋体"/>
          <w:kern w:val="0"/>
          <w:sz w:val="24"/>
        </w:rPr>
      </w:pPr>
      <w:r>
        <w:rPr>
          <w:sz w:val="24"/>
        </w:rPr>
        <w:t>7.</w:t>
      </w:r>
      <w:r>
        <w:rPr>
          <w:rFonts w:hint="eastAsia"/>
          <w:sz w:val="24"/>
        </w:rPr>
        <w:t xml:space="preserve"> </w:t>
      </w:r>
      <w:r>
        <w:rPr>
          <w:rFonts w:hint="eastAsia" w:ascii="宋体" w:hAnsi="宋体" w:cs="宋体"/>
          <w:kern w:val="0"/>
          <w:sz w:val="24"/>
        </w:rPr>
        <w:t>项目技术要求：</w:t>
      </w:r>
    </w:p>
    <w:p>
      <w:pPr>
        <w:tabs>
          <w:tab w:val="left" w:pos="360"/>
        </w:tabs>
        <w:spacing w:line="360" w:lineRule="auto"/>
        <w:rPr>
          <w:rFonts w:ascii="宋体" w:hAnsi="宋体"/>
          <w:sz w:val="24"/>
        </w:rPr>
      </w:pPr>
      <w:r>
        <w:rPr>
          <w:rFonts w:hint="eastAsia" w:ascii="宋体" w:hAnsi="宋体"/>
          <w:sz w:val="24"/>
        </w:rPr>
        <w:t xml:space="preserve">    详见第三部分</w:t>
      </w:r>
    </w:p>
    <w:p>
      <w:pPr>
        <w:tabs>
          <w:tab w:val="left" w:pos="360"/>
        </w:tabs>
        <w:spacing w:line="360" w:lineRule="auto"/>
        <w:rPr>
          <w:sz w:val="24"/>
        </w:rPr>
      </w:pPr>
      <w:bookmarkStart w:id="0" w:name="_Toc271909893"/>
      <w:bookmarkStart w:id="1" w:name="_Toc257218680"/>
      <w:r>
        <w:rPr>
          <w:sz w:val="24"/>
        </w:rPr>
        <w:t>8</w:t>
      </w:r>
      <w:r>
        <w:rPr>
          <w:rFonts w:hint="eastAsia"/>
          <w:sz w:val="24"/>
        </w:rPr>
        <w:t>. 询比价文件</w:t>
      </w:r>
      <w:r>
        <w:rPr>
          <w:sz w:val="24"/>
        </w:rPr>
        <w:t>的获取</w:t>
      </w:r>
      <w:bookmarkEnd w:id="0"/>
      <w:bookmarkEnd w:id="1"/>
      <w:r>
        <w:rPr>
          <w:rFonts w:hint="eastAsia"/>
          <w:sz w:val="24"/>
        </w:rPr>
        <w:t>：从中国航发航空科技股份有限公司官网获取询比价文件。</w:t>
      </w:r>
      <w:r>
        <w:rPr>
          <w:sz w:val="24"/>
        </w:rPr>
        <w:t xml:space="preserve"> </w:t>
      </w:r>
    </w:p>
    <w:p>
      <w:pPr>
        <w:tabs>
          <w:tab w:val="left" w:pos="360"/>
        </w:tabs>
        <w:spacing w:line="360" w:lineRule="auto"/>
        <w:rPr>
          <w:sz w:val="24"/>
        </w:rPr>
      </w:pPr>
      <w:r>
        <w:rPr>
          <w:rFonts w:hint="eastAsia"/>
          <w:sz w:val="24"/>
        </w:rPr>
        <w:t>9</w:t>
      </w:r>
      <w:r>
        <w:rPr>
          <w:sz w:val="24"/>
        </w:rPr>
        <w:t>.</w:t>
      </w:r>
      <w:r>
        <w:rPr>
          <w:rFonts w:hint="eastAsia"/>
          <w:sz w:val="24"/>
        </w:rPr>
        <w:t xml:space="preserve"> 招标文件</w:t>
      </w:r>
      <w:r>
        <w:rPr>
          <w:sz w:val="24"/>
        </w:rPr>
        <w:t xml:space="preserve">的递交：递交截止时间与询比价报价截止时间相同。 </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pPr>
        <w:pStyle w:val="2"/>
        <w:numPr>
          <w:ilvl w:val="0"/>
          <w:numId w:val="0"/>
        </w:numPr>
        <w:ind w:left="480"/>
        <w:jc w:val="center"/>
      </w:pPr>
      <w:r>
        <w:rPr>
          <w:rFonts w:ascii="黑体" w:hAnsi="宋体" w:eastAsia="黑体"/>
          <w:sz w:val="32"/>
        </w:rPr>
        <w:br w:type="page"/>
      </w:r>
      <w:r>
        <w:rPr>
          <w:rFonts w:hint="eastAsia"/>
        </w:rPr>
        <w:t>第二部分 总体要求</w:t>
      </w:r>
    </w:p>
    <w:p>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询比价项目参与人须承认投标文件的合理与合法性，遵守本次询比价的程序和要求，履行投标文件中询比价项目参与人的各项义务。</w:t>
      </w:r>
    </w:p>
    <w:p>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正本一份，副本一份，每份投标文件上要明确注明“正本”或“副本”字样。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pPr>
            <w:r>
              <w:rPr>
                <w:rFonts w:hint="eastAsia"/>
              </w:rPr>
              <w:t>投标文件内容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项目简表</w:t>
            </w:r>
            <w:r>
              <w:rPr>
                <w:rFonts w:hint="eastAsia"/>
                <w:spacing w:val="10"/>
              </w:rPr>
              <w:t>(第四部分附件3)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rPr>
                <w:spacing w:val="10"/>
              </w:rPr>
            </w:pPr>
            <w:r>
              <w:rPr>
                <w:spacing w:val="10"/>
              </w:rPr>
              <w:t>报价表</w:t>
            </w:r>
            <w:r>
              <w:rPr>
                <w:rFonts w:hint="eastAsia"/>
                <w:spacing w:val="10"/>
              </w:rPr>
              <w:t xml:space="preserve"> (第四部分附件4)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中国航发航空科技股份有限公司项目报价说明书（第四部分附件5）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技术规格偏离表</w:t>
            </w:r>
            <w:r>
              <w:t>(</w:t>
            </w:r>
            <w:r>
              <w:rPr>
                <w:rFonts w:hint="eastAsia"/>
              </w:rPr>
              <w:t>第四部分附件8</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中国航发航空科技股份有限公司项目技术研究方案申报书</w:t>
            </w:r>
            <w:r>
              <w:t>(</w:t>
            </w:r>
            <w:r>
              <w:rPr>
                <w:rFonts w:hint="eastAsia"/>
              </w:rPr>
              <w:t>第四部分附件9</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t>法定代表人</w:t>
            </w:r>
            <w:r>
              <w:rPr>
                <w:rFonts w:hint="eastAsia"/>
              </w:rPr>
              <w:t>授权证书</w:t>
            </w:r>
            <w:r>
              <w:t>(</w:t>
            </w:r>
            <w:r>
              <w:rPr>
                <w:rFonts w:hint="eastAsia"/>
              </w:rPr>
              <w:t>第四部分附件10-1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询比价项目参与人的单位简介、经营状况</w:t>
            </w:r>
            <w:r>
              <w:t xml:space="preserve"> (</w:t>
            </w:r>
            <w:r>
              <w:rPr>
                <w:rFonts w:hint="eastAsia"/>
              </w:rPr>
              <w:t>第四部分附件10-2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询比价项目参与人授权代表身份证复印件</w:t>
            </w:r>
            <w:r>
              <w:t>(</w:t>
            </w:r>
            <w:r>
              <w:rPr>
                <w:rFonts w:hint="eastAsia"/>
              </w:rPr>
              <w:t>第四部分附件11</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pPr>
            <w:r>
              <w:rPr>
                <w:rFonts w:hint="eastAsia"/>
              </w:rPr>
              <w:t>与询比价项目及服务有关的业绩表</w:t>
            </w:r>
            <w:r>
              <w:t>(</w:t>
            </w:r>
            <w:r>
              <w:rPr>
                <w:rFonts w:hint="eastAsia"/>
              </w:rPr>
              <w:t>第四部分附件13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pPr>
              <w:spacing w:line="320" w:lineRule="atLeast"/>
              <w:rPr>
                <w:rFonts w:ascii="宋体" w:hAnsi="宋体"/>
              </w:rPr>
            </w:pPr>
            <w:r>
              <w:rPr>
                <w:rFonts w:hint="eastAsia" w:ascii="宋体" w:hAnsi="宋体"/>
              </w:rPr>
              <w:t>有下列情况之一者投标文件无效：</w:t>
            </w:r>
          </w:p>
          <w:p>
            <w:pPr>
              <w:spacing w:line="320" w:lineRule="atLeast"/>
              <w:rPr>
                <w:rFonts w:ascii="宋体" w:hAnsi="宋体"/>
              </w:rPr>
            </w:pPr>
            <w:r>
              <w:rPr>
                <w:rFonts w:hint="eastAsia" w:ascii="宋体" w:hAnsi="宋体"/>
              </w:rPr>
              <w:t>17.1商务上</w:t>
            </w:r>
            <w:r>
              <w:rPr>
                <w:rFonts w:ascii="宋体" w:hAnsi="宋体"/>
              </w:rPr>
              <w:t>有下列情况之一者</w:t>
            </w:r>
            <w:r>
              <w:rPr>
                <w:rFonts w:hint="eastAsia" w:ascii="宋体" w:hAnsi="宋体"/>
              </w:rPr>
              <w:t>:</w:t>
            </w:r>
          </w:p>
          <w:p>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pPr>
              <w:spacing w:line="320" w:lineRule="atLeast"/>
              <w:rPr>
                <w:rFonts w:ascii="宋体" w:hAnsi="宋体"/>
              </w:rPr>
            </w:pPr>
            <w:r>
              <w:rPr>
                <w:rFonts w:hint="eastAsia" w:ascii="宋体" w:hAnsi="宋体"/>
              </w:rPr>
              <w:t>17.2</w:t>
            </w:r>
            <w:r>
              <w:rPr>
                <w:rFonts w:ascii="宋体" w:hAnsi="宋体"/>
              </w:rPr>
              <w:t>有下列情况之一者</w:t>
            </w:r>
            <w:r>
              <w:rPr>
                <w:rFonts w:hint="eastAsia" w:ascii="宋体" w:hAnsi="宋体"/>
              </w:rPr>
              <w:t>:</w:t>
            </w:r>
          </w:p>
          <w:p>
            <w:pPr>
              <w:numPr>
                <w:ilvl w:val="0"/>
                <w:numId w:val="6"/>
              </w:numPr>
              <w:spacing w:line="320" w:lineRule="atLeast"/>
              <w:rPr>
                <w:rFonts w:ascii="宋体" w:hAnsi="宋体"/>
              </w:rPr>
            </w:pPr>
            <w:r>
              <w:rPr>
                <w:rFonts w:hint="eastAsia" w:ascii="宋体" w:hAnsi="宋体"/>
              </w:rPr>
              <w:t>投标文件未按规定密封者；</w:t>
            </w:r>
          </w:p>
          <w:p>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pPr>
              <w:numPr>
                <w:ilvl w:val="0"/>
                <w:numId w:val="6"/>
              </w:numPr>
              <w:spacing w:line="320" w:lineRule="atLeast"/>
              <w:rPr>
                <w:rFonts w:ascii="宋体" w:hAnsi="宋体"/>
                <w:spacing w:val="10"/>
              </w:rPr>
            </w:pPr>
            <w:r>
              <w:rPr>
                <w:rFonts w:hint="eastAsia" w:ascii="宋体" w:hAnsi="宋体"/>
              </w:rPr>
              <w:t>投标文件逾期未送达者；</w:t>
            </w:r>
          </w:p>
        </w:tc>
      </w:tr>
    </w:tbl>
    <w:p>
      <w:pPr>
        <w:numPr>
          <w:ilvl w:val="0"/>
          <w:numId w:val="4"/>
        </w:numPr>
        <w:spacing w:line="480" w:lineRule="exact"/>
        <w:ind w:hanging="245"/>
        <w:rPr>
          <w:rFonts w:ascii="宋体" w:hAnsi="宋体"/>
          <w:sz w:val="24"/>
        </w:rPr>
      </w:pPr>
      <w:r>
        <w:rPr>
          <w:rFonts w:hint="eastAsia" w:ascii="宋体" w:hAnsi="宋体"/>
          <w:sz w:val="24"/>
        </w:rPr>
        <w:t>投标文件的密封和标记</w:t>
      </w:r>
    </w:p>
    <w:p>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pPr>
        <w:spacing w:line="480" w:lineRule="exact"/>
        <w:jc w:val="left"/>
        <w:rPr>
          <w:rFonts w:ascii="宋体" w:hAnsi="宋体"/>
          <w:sz w:val="24"/>
        </w:rPr>
      </w:pPr>
      <w:r>
        <w:rPr>
          <w:rFonts w:hint="eastAsia" w:ascii="宋体" w:hAnsi="宋体"/>
          <w:sz w:val="24"/>
        </w:rPr>
        <w:t>二．询比价资格文件</w:t>
      </w:r>
    </w:p>
    <w:p>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pPr>
        <w:spacing w:line="480" w:lineRule="exact"/>
        <w:rPr>
          <w:sz w:val="24"/>
        </w:rPr>
      </w:pPr>
      <w:r>
        <w:rPr>
          <w:rFonts w:hint="eastAsia"/>
          <w:sz w:val="24"/>
        </w:rPr>
        <w:t>三</w:t>
      </w:r>
      <w:r>
        <w:rPr>
          <w:rFonts w:hint="eastAsia" w:ascii="宋体" w:hAnsi="宋体"/>
          <w:sz w:val="24"/>
        </w:rPr>
        <w:t>．</w:t>
      </w:r>
      <w:r>
        <w:rPr>
          <w:rFonts w:hint="eastAsia"/>
          <w:sz w:val="24"/>
        </w:rPr>
        <w:t>询比价</w:t>
      </w:r>
    </w:p>
    <w:p>
      <w:pPr>
        <w:spacing w:line="480" w:lineRule="exact"/>
        <w:rPr>
          <w:sz w:val="24"/>
        </w:rPr>
      </w:pPr>
      <w:r>
        <w:rPr>
          <w:rFonts w:hint="eastAsia"/>
          <w:sz w:val="24"/>
        </w:rPr>
        <w:t xml:space="preserve">     a. 招标方在询比价规定的时间和地点公开询比价，询比价项目参与人派代表参加。</w:t>
      </w:r>
    </w:p>
    <w:p>
      <w:pPr>
        <w:spacing w:line="480" w:lineRule="exact"/>
        <w:rPr>
          <w:sz w:val="24"/>
        </w:rPr>
      </w:pPr>
      <w:r>
        <w:rPr>
          <w:rFonts w:hint="eastAsia"/>
          <w:sz w:val="24"/>
        </w:rPr>
        <w:t xml:space="preserve">     b. 询比价时，查验投标文件密封情况，确认无误后拆封唱标，唱正本“开标一览表”内容，以及招标方认为合适的其它内容并记录。</w:t>
      </w:r>
    </w:p>
    <w:p>
      <w:pPr>
        <w:spacing w:line="480" w:lineRule="exact"/>
        <w:rPr>
          <w:sz w:val="24"/>
        </w:rPr>
      </w:pPr>
      <w:r>
        <w:rPr>
          <w:rFonts w:hint="eastAsia"/>
          <w:sz w:val="24"/>
        </w:rPr>
        <w:t xml:space="preserve">     c. 招标方将根据询比价采购项目的特点组建询比价小组，询比价小组对投标文件进行审查、质疑评估和比较。</w:t>
      </w:r>
    </w:p>
    <w:p>
      <w:pPr>
        <w:spacing w:line="480" w:lineRule="exact"/>
        <w:rPr>
          <w:rFonts w:ascii="宋体" w:hAnsi="宋体"/>
          <w:sz w:val="24"/>
        </w:rPr>
      </w:pPr>
      <w:r>
        <w:rPr>
          <w:rFonts w:hint="eastAsia" w:ascii="宋体" w:hAnsi="宋体"/>
          <w:sz w:val="24"/>
        </w:rPr>
        <w:t>四．评标和定标</w:t>
      </w:r>
    </w:p>
    <w:p>
      <w:pPr>
        <w:spacing w:line="480" w:lineRule="exact"/>
        <w:ind w:left="236"/>
        <w:rPr>
          <w:rFonts w:ascii="宋体" w:hAnsi="宋体"/>
          <w:sz w:val="24"/>
        </w:rPr>
      </w:pPr>
      <w:r>
        <w:rPr>
          <w:rFonts w:hint="eastAsia" w:ascii="宋体" w:hAnsi="宋体"/>
          <w:sz w:val="24"/>
        </w:rPr>
        <w:t>1. 公平、公正、科学、择优；</w:t>
      </w:r>
    </w:p>
    <w:p>
      <w:pPr>
        <w:spacing w:line="480" w:lineRule="exact"/>
        <w:ind w:firstLine="240" w:firstLineChars="100"/>
        <w:rPr>
          <w:rFonts w:ascii="宋体" w:hAnsi="宋体"/>
          <w:sz w:val="24"/>
        </w:rPr>
      </w:pPr>
      <w:r>
        <w:rPr>
          <w:rFonts w:hint="eastAsia" w:ascii="宋体" w:hAnsi="宋体"/>
          <w:sz w:val="24"/>
        </w:rPr>
        <w:t>2. 评标小组将对投标文件进行综合评定；</w:t>
      </w:r>
    </w:p>
    <w:p>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 (2)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pPr>
              <w:jc w:val="center"/>
            </w:pPr>
            <w:r>
              <w:rPr>
                <w:rFonts w:hint="eastAsia"/>
              </w:rPr>
              <w:t>条款号</w:t>
            </w:r>
          </w:p>
        </w:tc>
        <w:tc>
          <w:tcPr>
            <w:tcW w:w="3382" w:type="dxa"/>
            <w:vMerge w:val="restart"/>
            <w:vAlign w:val="center"/>
          </w:tcPr>
          <w:p>
            <w:pPr>
              <w:jc w:val="center"/>
            </w:pPr>
            <w:r>
              <w:rPr>
                <w:rFonts w:hint="eastAsia"/>
              </w:rPr>
              <w:t>评分因素（偏差率）</w:t>
            </w:r>
          </w:p>
        </w:tc>
        <w:tc>
          <w:tcPr>
            <w:tcW w:w="5244" w:type="dxa"/>
            <w:vMerge w:val="restart"/>
            <w:vAlign w:val="center"/>
          </w:tcPr>
          <w:p>
            <w:pPr>
              <w:jc w:val="center"/>
            </w:pPr>
            <w:r>
              <w:rPr>
                <w:rFonts w:hint="eastAsi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tc>
        <w:tc>
          <w:tcPr>
            <w:tcW w:w="3382" w:type="dxa"/>
            <w:vMerge w:val="continue"/>
          </w:tcPr>
          <w:p/>
        </w:tc>
        <w:tc>
          <w:tcPr>
            <w:tcW w:w="524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1</w:t>
            </w:r>
          </w:p>
        </w:tc>
        <w:tc>
          <w:tcPr>
            <w:tcW w:w="1259" w:type="dxa"/>
            <w:vMerge w:val="restart"/>
          </w:tcPr>
          <w:p>
            <w:pPr>
              <w:jc w:val="center"/>
            </w:pPr>
            <w:r>
              <w:rPr>
                <w:rFonts w:hint="eastAsia"/>
              </w:rPr>
              <w:t>商</w:t>
            </w:r>
          </w:p>
          <w:p>
            <w:pPr>
              <w:jc w:val="center"/>
            </w:pPr>
            <w:r>
              <w:rPr>
                <w:rFonts w:hint="eastAsia"/>
              </w:rPr>
              <w:t>务</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（10分）</w:t>
            </w:r>
          </w:p>
        </w:tc>
        <w:tc>
          <w:tcPr>
            <w:tcW w:w="3382" w:type="dxa"/>
            <w:vAlign w:val="center"/>
          </w:tcPr>
          <w:p>
            <w:r>
              <w:rPr>
                <w:rFonts w:hint="eastAsia"/>
              </w:rPr>
              <w:t>对询比价项目参与人经济状况的评价（3分）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对询比价项目参与人信誉度的评价（2分）</w:t>
            </w:r>
          </w:p>
        </w:tc>
        <w:tc>
          <w:tcPr>
            <w:tcW w:w="5244" w:type="dxa"/>
            <w:vAlign w:val="center"/>
          </w:tcPr>
          <w:p>
            <w:r>
              <w:rPr>
                <w:rFonts w:hint="eastAsia"/>
              </w:rPr>
              <w:t>根据询比价项目参与人所提供的招标文件进行考核，酌情打分。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pPr>
              <w:jc w:val="center"/>
            </w:pPr>
          </w:p>
        </w:tc>
        <w:tc>
          <w:tcPr>
            <w:tcW w:w="3382" w:type="dxa"/>
            <w:vAlign w:val="center"/>
          </w:tcPr>
          <w:p>
            <w:r>
              <w:rPr>
                <w:rFonts w:hint="eastAsia"/>
              </w:rPr>
              <w:t>业绩（5分）</w:t>
            </w:r>
          </w:p>
        </w:tc>
        <w:tc>
          <w:tcPr>
            <w:tcW w:w="5244" w:type="dxa"/>
            <w:vAlign w:val="center"/>
          </w:tcPr>
          <w:p>
            <w:r>
              <w:rPr>
                <w:rFonts w:hint="eastAsia"/>
              </w:rPr>
              <w:t>根据合同及评选小组所了解的情况排序，排序最高分者得满分，其余依次酌情扣分。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pPr>
              <w:jc w:val="center"/>
            </w:pPr>
            <w:r>
              <w:rPr>
                <w:rFonts w:hint="eastAsia"/>
              </w:rPr>
              <w:t>2</w:t>
            </w:r>
          </w:p>
        </w:tc>
        <w:tc>
          <w:tcPr>
            <w:tcW w:w="1259" w:type="dxa"/>
            <w:vMerge w:val="restart"/>
            <w:vAlign w:val="center"/>
          </w:tcPr>
          <w:p>
            <w:pPr>
              <w:jc w:val="center"/>
            </w:pPr>
            <w:r>
              <w:rPr>
                <w:rFonts w:hint="eastAsia"/>
              </w:rPr>
              <w:t>技</w:t>
            </w:r>
          </w:p>
          <w:p>
            <w:pPr>
              <w:jc w:val="center"/>
            </w:pPr>
            <w:r>
              <w:rPr>
                <w:rFonts w:hint="eastAsia"/>
              </w:rPr>
              <w:t>术</w:t>
            </w:r>
          </w:p>
          <w:p>
            <w:pPr>
              <w:jc w:val="center"/>
            </w:pPr>
            <w:r>
              <w:rPr>
                <w:rFonts w:hint="eastAsia"/>
              </w:rPr>
              <w:t>评</w:t>
            </w:r>
          </w:p>
          <w:p>
            <w:pPr>
              <w:jc w:val="center"/>
            </w:pPr>
            <w:r>
              <w:rPr>
                <w:rFonts w:hint="eastAsia"/>
              </w:rPr>
              <w:t>分</w:t>
            </w:r>
          </w:p>
          <w:p>
            <w:pPr>
              <w:jc w:val="center"/>
            </w:pPr>
            <w:r>
              <w:rPr>
                <w:rFonts w:hint="eastAsia"/>
              </w:rPr>
              <w:t>标</w:t>
            </w:r>
          </w:p>
          <w:p>
            <w:pPr>
              <w:jc w:val="center"/>
            </w:pPr>
            <w:r>
              <w:rPr>
                <w:rFonts w:hint="eastAsia"/>
              </w:rPr>
              <w:t>准</w:t>
            </w:r>
          </w:p>
          <w:p>
            <w:pPr>
              <w:jc w:val="center"/>
            </w:pPr>
            <w:r>
              <w:rPr>
                <w:rFonts w:hint="eastAsia"/>
              </w:rPr>
              <w:t>（55分）</w:t>
            </w:r>
          </w:p>
        </w:tc>
        <w:tc>
          <w:tcPr>
            <w:tcW w:w="3382" w:type="dxa"/>
            <w:vAlign w:val="center"/>
          </w:tcPr>
          <w:p>
            <w:r>
              <w:rPr>
                <w:rFonts w:hint="eastAsia"/>
              </w:rPr>
              <w:t>询比价服务方案技术指标响应程度（30分）</w:t>
            </w:r>
          </w:p>
        </w:tc>
        <w:tc>
          <w:tcPr>
            <w:tcW w:w="5244" w:type="dxa"/>
            <w:vAlign w:val="center"/>
          </w:tcPr>
          <w:p>
            <w:r>
              <w:rPr>
                <w:rFonts w:hint="eastAsia"/>
              </w:rPr>
              <w:t>针对投标文件非*号条款，投标文件中有一项不满足或未响应，扣3分；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pPr>
              <w:jc w:val="center"/>
            </w:pPr>
          </w:p>
        </w:tc>
        <w:tc>
          <w:tcPr>
            <w:tcW w:w="1259" w:type="dxa"/>
            <w:vMerge w:val="continue"/>
            <w:vAlign w:val="center"/>
          </w:tcPr>
          <w:p>
            <w:pPr>
              <w:jc w:val="center"/>
            </w:pPr>
          </w:p>
        </w:tc>
        <w:tc>
          <w:tcPr>
            <w:tcW w:w="3382" w:type="dxa"/>
            <w:vAlign w:val="center"/>
          </w:tcPr>
          <w:p>
            <w:r>
              <w:rPr>
                <w:rFonts w:hint="eastAsia"/>
              </w:rPr>
              <w:t>询比价技术方案汇报（5分）</w:t>
            </w:r>
          </w:p>
        </w:tc>
        <w:tc>
          <w:tcPr>
            <w:tcW w:w="5244" w:type="dxa"/>
            <w:vAlign w:val="center"/>
          </w:tcPr>
          <w:p>
            <w:r>
              <w:rPr>
                <w:rFonts w:hint="eastAsia"/>
              </w:rPr>
              <w:t>根据询比价项目参与人技术方案PPT汇报及答疑情况，酌情打分；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对询比价项目参与人技术服务和质保期服务能力的评价（5分）</w:t>
            </w:r>
          </w:p>
        </w:tc>
        <w:tc>
          <w:tcPr>
            <w:tcW w:w="5244" w:type="dxa"/>
            <w:vAlign w:val="center"/>
          </w:tcPr>
          <w:p>
            <w:r>
              <w:rPr>
                <w:rFonts w:hint="eastAsia"/>
              </w:rPr>
              <w:t>根据投标文件响应程度及询比价小组所了解情况考核，酌情打分；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pPr>
              <w:jc w:val="center"/>
            </w:pPr>
          </w:p>
        </w:tc>
        <w:tc>
          <w:tcPr>
            <w:tcW w:w="1259" w:type="dxa"/>
            <w:vMerge w:val="continue"/>
          </w:tcPr>
          <w:p/>
        </w:tc>
        <w:tc>
          <w:tcPr>
            <w:tcW w:w="3382" w:type="dxa"/>
            <w:vAlign w:val="center"/>
          </w:tcPr>
          <w:p>
            <w:r>
              <w:rPr>
                <w:rFonts w:hint="eastAsia"/>
              </w:rPr>
              <w:t>对技术方案整体评价，优劣程度比较（15分）</w:t>
            </w:r>
          </w:p>
        </w:tc>
        <w:tc>
          <w:tcPr>
            <w:tcW w:w="5244" w:type="dxa"/>
            <w:vAlign w:val="center"/>
          </w:tcPr>
          <w:p>
            <w:pPr>
              <w:adjustRightInd w:val="0"/>
              <w:snapToGrid w:val="0"/>
            </w:pPr>
            <w:r>
              <w:rPr>
                <w:rFonts w:hint="eastAsia"/>
              </w:rPr>
              <w:t>以技术参数评议为基础，依据询比价及所了解情况，对各询比价项目参与人所投项目的技术方案优劣对照比较评审，评分标准如下：</w:t>
            </w:r>
          </w:p>
          <w:p>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pPr>
              <w:jc w:val="center"/>
            </w:pPr>
            <w:r>
              <w:rPr>
                <w:rFonts w:hint="eastAsia"/>
              </w:rPr>
              <w:t>3</w:t>
            </w:r>
          </w:p>
        </w:tc>
        <w:tc>
          <w:tcPr>
            <w:tcW w:w="1259" w:type="dxa"/>
            <w:vAlign w:val="center"/>
          </w:tcPr>
          <w:p>
            <w:pPr>
              <w:jc w:val="center"/>
            </w:pPr>
            <w:r>
              <w:rPr>
                <w:rFonts w:hint="eastAsia"/>
              </w:rPr>
              <w:t>询比价报价（35分）</w:t>
            </w:r>
          </w:p>
        </w:tc>
        <w:tc>
          <w:tcPr>
            <w:tcW w:w="3382" w:type="dxa"/>
            <w:vAlign w:val="center"/>
          </w:tcPr>
          <w:p>
            <w:r>
              <w:rPr>
                <w:rFonts w:hint="eastAsia"/>
              </w:rPr>
              <w:t>询比价报价（35分）</w:t>
            </w:r>
          </w:p>
        </w:tc>
        <w:tc>
          <w:tcPr>
            <w:tcW w:w="5244" w:type="dxa"/>
            <w:vAlign w:val="center"/>
          </w:tcPr>
          <w:p>
            <w:r>
              <w:rPr>
                <w:rFonts w:hint="eastAsia"/>
              </w:rPr>
              <w:t>所有投标报价的算术平均值为基准价，每高于基准价5%扣2分，每低于基准价5%扣1分，不足5%的部分按5%计算，等于基准价为35分。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pPr>
              <w:jc w:val="center"/>
            </w:pPr>
            <w:r>
              <w:rPr>
                <w:rFonts w:hint="eastAsia"/>
              </w:rPr>
              <w:t>总得分（满分100分）</w:t>
            </w:r>
          </w:p>
        </w:tc>
      </w:tr>
    </w:tbl>
    <w:p>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 作废标处理后，使得询比价明显缺乏竞争，决定否决全部投标，招标方有权作流标处理。</w:t>
      </w:r>
    </w:p>
    <w:p>
      <w:pPr>
        <w:spacing w:line="480" w:lineRule="exact"/>
        <w:ind w:firstLine="240" w:firstLineChars="100"/>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中标方在收到《中选通知书》后，按招标方指定的时间、地点与招标方签订合同。</w:t>
      </w:r>
    </w:p>
    <w:p>
      <w:pPr>
        <w:widowControl/>
        <w:jc w:val="left"/>
        <w:rPr>
          <w:rFonts w:ascii="宋体" w:hAnsi="宋体"/>
          <w:sz w:val="24"/>
        </w:rPr>
      </w:pPr>
      <w:r>
        <w:rPr>
          <w:rFonts w:ascii="宋体" w:hAnsi="宋体"/>
          <w:sz w:val="24"/>
        </w:rPr>
        <w:br w:type="page"/>
      </w:r>
    </w:p>
    <w:p>
      <w:pPr>
        <w:pStyle w:val="2"/>
        <w:numPr>
          <w:ilvl w:val="0"/>
          <w:numId w:val="0"/>
        </w:numPr>
        <w:ind w:left="-710" w:leftChars="-338"/>
        <w:jc w:val="center"/>
      </w:pPr>
      <w:r>
        <w:rPr>
          <w:rFonts w:hint="eastAsia"/>
        </w:rPr>
        <w:t>第三部分投标文件具体要求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384"/>
        <w:gridCol w:w="8470"/>
      </w:tblGrid>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bCs/>
                <w:kern w:val="0"/>
                <w:sz w:val="24"/>
              </w:rPr>
            </w:pPr>
            <w:r>
              <w:rPr>
                <w:rFonts w:ascii="宋体" w:hAnsi="宋体" w:cs="宋体"/>
                <w:b/>
                <w:bCs/>
                <w:kern w:val="0"/>
                <w:sz w:val="24"/>
              </w:rPr>
              <w:t>1.</w:t>
            </w:r>
          </w:p>
        </w:tc>
        <w:tc>
          <w:tcPr>
            <w:tcW w:w="84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kern w:val="0"/>
                <w:sz w:val="24"/>
              </w:rPr>
            </w:pPr>
            <w:r>
              <w:rPr>
                <w:rFonts w:hint="eastAsia" w:ascii="宋体" w:hAnsi="宋体" w:cs="宋体"/>
                <w:b/>
                <w:bCs/>
                <w:kern w:val="0"/>
                <w:sz w:val="24"/>
              </w:rPr>
              <w:t>询比价编号：</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Theme="minorEastAsia" w:hAnsiTheme="minorEastAsia" w:eastAsiaTheme="minorEastAsia"/>
                <w:sz w:val="24"/>
              </w:rPr>
              <w:t>基于工业机器人的钣金机匣自动化打磨研究</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ascii="宋体" w:hAnsi="宋体" w:cs="宋体"/>
                <w:b/>
                <w:bCs/>
                <w:kern w:val="0"/>
                <w:sz w:val="24"/>
              </w:rPr>
              <w:t>数量：1</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4.</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ascii="宋体" w:hAnsi="宋体"/>
                <w:b/>
                <w:sz w:val="24"/>
              </w:rPr>
              <w:t>报价方式及币种</w:t>
            </w:r>
          </w:p>
        </w:tc>
      </w:tr>
      <w:tr>
        <w:tblPrEx>
          <w:tblCellMar>
            <w:top w:w="0" w:type="dxa"/>
            <w:left w:w="108" w:type="dxa"/>
            <w:bottom w:w="0" w:type="dxa"/>
            <w:right w:w="108" w:type="dxa"/>
          </w:tblCellMar>
        </w:tblPrEx>
        <w:trPr>
          <w:trHeight w:val="15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4.1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 w:val="24"/>
              </w:rPr>
            </w:pPr>
            <w:r>
              <w:rPr>
                <w:rFonts w:ascii="宋体" w:hAnsi="宋体" w:cs="宋体"/>
                <w:bCs/>
                <w:kern w:val="0"/>
                <w:sz w:val="24"/>
              </w:rPr>
              <w:t>4.3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5.</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项目周期</w:t>
            </w:r>
            <w:r>
              <w:rPr>
                <w:rFonts w:ascii="宋体" w:hAnsi="宋体"/>
                <w:sz w:val="24"/>
              </w:rPr>
              <w:t>：</w:t>
            </w:r>
            <w:r>
              <w:rPr>
                <w:rFonts w:hint="eastAsia" w:ascii="宋体" w:hAnsi="宋体"/>
                <w:sz w:val="24"/>
              </w:rPr>
              <w:t>2024年10月前</w:t>
            </w:r>
            <w:r>
              <w:rPr>
                <w:rFonts w:ascii="宋体" w:hAnsi="宋体"/>
                <w:sz w:val="24"/>
              </w:rPr>
              <w:t>。</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w:t>
            </w:r>
            <w:r>
              <w:rPr>
                <w:rFonts w:ascii="宋体" w:hAnsi="宋体"/>
                <w:b/>
                <w:sz w:val="24"/>
              </w:rPr>
              <w:t>6.</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Cs/>
                <w:sz w:val="24"/>
              </w:rPr>
            </w:pPr>
            <w:r>
              <w:rPr>
                <w:rFonts w:hint="eastAsia" w:ascii="宋体" w:hAnsi="宋体"/>
                <w:bCs/>
                <w:sz w:val="24"/>
              </w:rPr>
              <w:t>项目建设内容及</w:t>
            </w:r>
            <w:r>
              <w:rPr>
                <w:rFonts w:hint="eastAsia"/>
                <w:bCs/>
                <w:snapToGrid w:val="0"/>
                <w:sz w:val="24"/>
              </w:rPr>
              <w:t>整体要求</w:t>
            </w:r>
            <w:r>
              <w:rPr>
                <w:rFonts w:ascii="宋体" w:hAnsi="宋体"/>
                <w:sz w:val="24"/>
              </w:rPr>
              <w:t>：</w:t>
            </w:r>
            <w:r>
              <w:rPr>
                <w:rFonts w:hint="eastAsia" w:ascii="宋体" w:hAnsi="宋体"/>
                <w:sz w:val="24"/>
              </w:rPr>
              <w:t>开展</w:t>
            </w:r>
            <w:r>
              <w:rPr>
                <w:rFonts w:hint="eastAsia" w:ascii="宋体" w:hAnsi="宋体"/>
                <w:bCs/>
                <w:sz w:val="24"/>
              </w:rPr>
              <w:t>打磨技术研究需完成以下工作内容：</w:t>
            </w:r>
          </w:p>
          <w:p>
            <w:pPr>
              <w:spacing w:line="480" w:lineRule="exact"/>
              <w:ind w:firstLine="240" w:firstLineChars="100"/>
              <w:rPr>
                <w:rFonts w:ascii="宋体" w:hAnsi="宋体"/>
                <w:bCs/>
                <w:sz w:val="24"/>
              </w:rPr>
            </w:pPr>
            <w:r>
              <w:rPr>
                <w:rFonts w:hint="eastAsia" w:ascii="宋体" w:hAnsi="宋体"/>
                <w:bCs/>
                <w:sz w:val="24"/>
              </w:rPr>
              <w:t>（1）基于工业机器人的机匣焊缝打磨系统设计</w:t>
            </w:r>
          </w:p>
          <w:p>
            <w:pPr>
              <w:spacing w:line="480" w:lineRule="exact"/>
              <w:ind w:firstLine="240" w:firstLineChars="100"/>
              <w:rPr>
                <w:rFonts w:ascii="宋体" w:hAnsi="宋体"/>
                <w:bCs/>
                <w:sz w:val="24"/>
              </w:rPr>
            </w:pPr>
            <w:r>
              <w:rPr>
                <w:rFonts w:hint="eastAsia" w:ascii="宋体" w:hAnsi="宋体"/>
                <w:bCs/>
                <w:sz w:val="24"/>
              </w:rPr>
              <w:t>（2）基于力位控制的机匣焊缝打磨自适应控制技术研究</w:t>
            </w:r>
          </w:p>
          <w:p>
            <w:pPr>
              <w:spacing w:line="480" w:lineRule="exact"/>
              <w:ind w:firstLine="240" w:firstLineChars="100"/>
              <w:rPr>
                <w:rFonts w:ascii="宋体" w:hAnsi="宋体"/>
                <w:bCs/>
                <w:sz w:val="24"/>
              </w:rPr>
            </w:pPr>
            <w:r>
              <w:rPr>
                <w:rFonts w:hint="eastAsia" w:ascii="宋体" w:hAnsi="宋体"/>
                <w:bCs/>
                <w:sz w:val="24"/>
              </w:rPr>
              <w:t>（3）基于激光技术的焊缝寻位跟踪技术研究</w:t>
            </w:r>
          </w:p>
          <w:p>
            <w:pPr>
              <w:spacing w:line="480" w:lineRule="exact"/>
              <w:ind w:firstLine="240" w:firstLineChars="100"/>
              <w:rPr>
                <w:rFonts w:ascii="宋体" w:hAnsi="宋体"/>
                <w:bCs/>
                <w:sz w:val="24"/>
              </w:rPr>
            </w:pPr>
            <w:r>
              <w:rPr>
                <w:rFonts w:hint="eastAsia" w:ascii="宋体" w:hAnsi="宋体"/>
                <w:bCs/>
                <w:sz w:val="24"/>
              </w:rPr>
              <w:t>（4）机匣焊缝高效打磨工艺技术研究</w:t>
            </w:r>
          </w:p>
          <w:p>
            <w:pPr>
              <w:spacing w:line="480" w:lineRule="exact"/>
              <w:ind w:firstLine="240" w:firstLineChars="100"/>
              <w:rPr>
                <w:rFonts w:ascii="宋体" w:hAnsi="宋体"/>
                <w:bCs/>
                <w:sz w:val="24"/>
              </w:rPr>
            </w:pPr>
            <w:r>
              <w:rPr>
                <w:rFonts w:hint="eastAsia" w:ascii="宋体" w:hAnsi="宋体"/>
                <w:bCs/>
                <w:sz w:val="24"/>
              </w:rPr>
              <w:t>（5）钣金机匣</w:t>
            </w:r>
            <w:r>
              <w:rPr>
                <w:rFonts w:ascii="宋体" w:hAnsi="宋体"/>
                <w:bCs/>
                <w:sz w:val="24"/>
              </w:rPr>
              <w:t>打磨轨迹规划及离线编程</w:t>
            </w:r>
            <w:r>
              <w:rPr>
                <w:rFonts w:hint="eastAsia" w:ascii="宋体" w:hAnsi="宋体"/>
                <w:bCs/>
                <w:sz w:val="24"/>
              </w:rPr>
              <w:t>技术研究</w:t>
            </w:r>
          </w:p>
          <w:p>
            <w:pPr>
              <w:spacing w:line="480" w:lineRule="exact"/>
              <w:ind w:firstLine="240" w:firstLineChars="100"/>
              <w:rPr>
                <w:rFonts w:ascii="宋体" w:hAnsi="宋体"/>
                <w:b/>
                <w:sz w:val="24"/>
              </w:rPr>
            </w:pPr>
            <w:r>
              <w:rPr>
                <w:rFonts w:hint="eastAsia" w:ascii="宋体" w:hAnsi="宋体"/>
                <w:bCs/>
                <w:sz w:val="24"/>
              </w:rPr>
              <w:t>（6）开展钣金机匣自动化打磨技术现场工艺验证</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7.</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详细研究内容、指标与要求</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7.1</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基于工业机器人的钣金机匣自动化打磨系统研究应满足如下要求和指标：</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打磨系统需保证零件不能过打磨；</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7.1.2</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打磨系统能实现机匣焊缝的自动识别及定位；</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7.1.3</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sz w:val="24"/>
                <w:highlight w:val="yellow"/>
              </w:rPr>
            </w:pPr>
            <w:r>
              <w:rPr>
                <w:rFonts w:hint="eastAsia" w:asciiTheme="minorEastAsia" w:hAnsiTheme="minorEastAsia" w:eastAsiaTheme="minorEastAsia"/>
                <w:sz w:val="24"/>
              </w:rPr>
              <w:t>实现不同打磨工具快装快换；</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sz w:val="24"/>
              </w:rPr>
              <w:t>7.1.4</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宋体" w:hAnsi="宋体" w:cs="宋体"/>
                <w:kern w:val="0"/>
                <w:sz w:val="24"/>
                <w:lang w:bidi="ar"/>
              </w:rPr>
              <w:t>对马氏体不锈钢13Cr11Ni2V2MoV材料的扩散器（大端直径798mm、小端直径683mm、高度623 mm）零件进行焊缝打磨，打磨后焊缝高度≤0.5mm。</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olor w:val="000000" w:themeColor="text1"/>
                <w:sz w:val="24"/>
                <w14:textFill>
                  <w14:solidFill>
                    <w14:schemeClr w14:val="tx1"/>
                  </w14:solidFill>
                </w14:textFill>
              </w:rPr>
              <w:t>*</w:t>
            </w:r>
            <w:r>
              <w:rPr>
                <w:rFonts w:hint="eastAsia" w:ascii="宋体" w:hAnsi="宋体"/>
                <w:sz w:val="24"/>
              </w:rPr>
              <w:t>7.1.5</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焊缝打磨后的表面粗糙度≤Ra 6.3μm；</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olor w:val="000000" w:themeColor="text1"/>
                <w:sz w:val="24"/>
                <w14:textFill>
                  <w14:solidFill>
                    <w14:schemeClr w14:val="tx1"/>
                  </w14:solidFill>
                </w14:textFill>
              </w:rPr>
              <w:t>*</w:t>
            </w:r>
            <w:r>
              <w:rPr>
                <w:rFonts w:hint="eastAsia" w:ascii="宋体" w:hAnsi="宋体"/>
                <w:sz w:val="24"/>
              </w:rPr>
              <w:t>7.1.6</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焊缝打磨后与主体金属表面齐平且圆滑转接；</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olor w:val="000000" w:themeColor="text1"/>
                <w:sz w:val="24"/>
                <w14:textFill>
                  <w14:solidFill>
                    <w14:schemeClr w14:val="tx1"/>
                  </w14:solidFill>
                </w14:textFill>
              </w:rPr>
              <w:t>*</w:t>
            </w:r>
            <w:r>
              <w:rPr>
                <w:rFonts w:hint="eastAsia" w:ascii="宋体" w:hAnsi="宋体"/>
                <w:sz w:val="24"/>
              </w:rPr>
              <w:t>7.1.7</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打磨后基体减薄不超过母材厚度的</w:t>
            </w:r>
            <w:r>
              <w:rPr>
                <w:rFonts w:asciiTheme="minorEastAsia" w:hAnsiTheme="minorEastAsia" w:eastAsiaTheme="minorEastAsia"/>
                <w:sz w:val="24"/>
              </w:rPr>
              <w:t>10%</w:t>
            </w:r>
            <w:r>
              <w:rPr>
                <w:rFonts w:hint="eastAsia" w:asciiTheme="minorEastAsia" w:hAnsiTheme="minorEastAsia" w:eastAsiaTheme="minorEastAsia"/>
                <w:sz w:val="24"/>
              </w:rPr>
              <w:t>；</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sz w:val="24"/>
              </w:rPr>
              <w:t>7.1.8</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表面不允许有沟槽、裂纹等缺陷；</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sz w:val="24"/>
              </w:rPr>
              <w:t>7.1.9</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传感器精度指标：</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sz w:val="24"/>
              </w:rPr>
              <w:t>7.1.9.1</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通讯时间≤0.5 秒；</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sz w:val="24"/>
              </w:rPr>
              <w:t>7.1.9.2</w:t>
            </w:r>
          </w:p>
        </w:tc>
        <w:tc>
          <w:tcPr>
            <w:tcW w:w="847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heme="minorEastAsia" w:hAnsiTheme="minorEastAsia" w:eastAsiaTheme="minorEastAsia"/>
                <w:sz w:val="24"/>
              </w:rPr>
            </w:pPr>
            <w:r>
              <w:rPr>
                <w:rFonts w:hint="eastAsia" w:asciiTheme="minorEastAsia" w:hAnsiTheme="minorEastAsia" w:eastAsiaTheme="minorEastAsia"/>
                <w:sz w:val="24"/>
              </w:rPr>
              <w:t>激光位置传感器的灵敏度≤1mm。</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eastAsia="zh-Hans" w:bidi="ar"/>
              </w:rPr>
              <w:t>打磨系统</w:t>
            </w:r>
            <w:r>
              <w:rPr>
                <w:rFonts w:hint="eastAsia" w:ascii="宋体" w:hAnsi="宋体" w:cs="宋体"/>
                <w:color w:val="000000"/>
                <w:kern w:val="0"/>
                <w:sz w:val="24"/>
                <w:lang w:bidi="ar"/>
              </w:rPr>
              <w:t>要求及内容</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color w:val="000000" w:themeColor="text1"/>
                <w:sz w:val="24"/>
                <w14:textFill>
                  <w14:solidFill>
                    <w14:schemeClr w14:val="tx1"/>
                  </w14:solidFill>
                </w14:textFill>
              </w:rPr>
              <w:t>*</w:t>
            </w:r>
            <w:r>
              <w:rPr>
                <w:rFonts w:hint="eastAsia" w:ascii="宋体" w:hAnsi="宋体"/>
                <w:sz w:val="24"/>
              </w:rPr>
              <w:t>8．1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打磨整机系统包含但不限于以下内容：</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打磨机器人</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台；</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系统工作站电气控制柜</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台；</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bidi="ar"/>
              </w:rPr>
              <w:t>自适应打磨</w:t>
            </w:r>
            <w:r>
              <w:rPr>
                <w:rFonts w:hint="eastAsia" w:ascii="宋体" w:hAnsi="宋体" w:cs="宋体"/>
                <w:color w:val="000000"/>
                <w:kern w:val="0"/>
                <w:sz w:val="24"/>
                <w:lang w:eastAsia="zh-Hans" w:bidi="ar"/>
              </w:rPr>
              <w:t>系统</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耗材自动更换系统</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双工位变位机</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打磨器具</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p>
            <w:pPr>
              <w:widowControl/>
              <w:numPr>
                <w:ilvl w:val="0"/>
                <w:numId w:val="9"/>
              </w:numP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安全围栏及防护系统</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p>
            <w:pPr>
              <w:spacing w:line="480" w:lineRule="exact"/>
              <w:rPr>
                <w:rFonts w:ascii="宋体" w:hAnsi="宋体"/>
                <w:b/>
                <w:sz w:val="24"/>
              </w:rPr>
            </w:pPr>
            <w:r>
              <w:rPr>
                <w:rFonts w:hint="eastAsia" w:ascii="宋体" w:hAnsi="宋体" w:cs="宋体"/>
                <w:color w:val="000000"/>
                <w:kern w:val="0"/>
                <w:sz w:val="24"/>
                <w:lang w:bidi="ar"/>
              </w:rPr>
              <w:t>（8）</w:t>
            </w:r>
            <w:r>
              <w:rPr>
                <w:rFonts w:hint="eastAsia" w:ascii="宋体" w:hAnsi="宋体" w:cs="宋体"/>
                <w:color w:val="000000"/>
                <w:kern w:val="0"/>
                <w:sz w:val="24"/>
                <w:lang w:eastAsia="zh-Hans" w:bidi="ar"/>
              </w:rPr>
              <w:t>视觉识别系统</w:t>
            </w:r>
            <w:r>
              <w:rPr>
                <w:rFonts w:ascii="宋体" w:hAnsi="宋体" w:cs="宋体"/>
                <w:color w:val="000000"/>
                <w:kern w:val="0"/>
                <w:sz w:val="24"/>
                <w:lang w:eastAsia="zh-Hans" w:bidi="ar"/>
              </w:rPr>
              <w:t xml:space="preserve">                    1</w:t>
            </w:r>
            <w:r>
              <w:rPr>
                <w:rFonts w:hint="eastAsia" w:ascii="宋体" w:hAnsi="宋体" w:cs="宋体"/>
                <w:color w:val="000000"/>
                <w:kern w:val="0"/>
                <w:sz w:val="24"/>
                <w:lang w:eastAsia="zh-Hans" w:bidi="ar"/>
              </w:rPr>
              <w:t>套；</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8.2</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投标文件的编制以及设备的设计、制造等所有技术文件和图纸中，应采用国际单位（公）制（管螺纹除外）</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8.3</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b/>
                <w:sz w:val="24"/>
              </w:rPr>
            </w:pPr>
            <w:r>
              <w:rPr>
                <w:rFonts w:hint="eastAsia" w:ascii="宋体" w:hAnsi="宋体" w:cs="宋体"/>
                <w:color w:val="000000"/>
                <w:kern w:val="0"/>
                <w:sz w:val="24"/>
                <w:lang w:bidi="ar"/>
              </w:rPr>
              <w:t>机器人可按制造商原厂颜色或按招标方要求进行喷漆；</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8.4</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安全防护喷漆部位采用警示色黄色；</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8.5</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选用颜色符合国家标准要求，需提供色板供招标方确定后，方可实行；</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8.6</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设备布局要求：</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8.6.1</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工件定位夹紧结构由</w:t>
            </w:r>
            <w:r>
              <w:rPr>
                <w:rFonts w:hint="eastAsia" w:ascii="宋体" w:hAnsi="宋体" w:cs="宋体"/>
                <w:color w:val="000000"/>
                <w:kern w:val="0"/>
                <w:sz w:val="24"/>
                <w:lang w:eastAsia="zh-Hans" w:bidi="ar"/>
              </w:rPr>
              <w:t>投标人</w:t>
            </w:r>
            <w:r>
              <w:rPr>
                <w:rFonts w:hint="eastAsia" w:ascii="宋体" w:hAnsi="宋体" w:cs="宋体"/>
                <w:color w:val="000000"/>
                <w:kern w:val="0"/>
                <w:sz w:val="24"/>
                <w:lang w:bidi="ar"/>
              </w:rPr>
              <w:t>根据方案</w:t>
            </w:r>
            <w:r>
              <w:rPr>
                <w:rFonts w:hint="eastAsia" w:ascii="宋体" w:hAnsi="宋体" w:cs="宋体"/>
                <w:color w:val="000000"/>
                <w:kern w:val="0"/>
                <w:sz w:val="24"/>
                <w:lang w:eastAsia="zh-Hans" w:bidi="ar"/>
              </w:rPr>
              <w:t>进行</w:t>
            </w:r>
            <w:r>
              <w:rPr>
                <w:rFonts w:hint="eastAsia" w:ascii="宋体" w:hAnsi="宋体" w:cs="宋体"/>
                <w:color w:val="000000"/>
                <w:kern w:val="0"/>
                <w:sz w:val="24"/>
                <w:lang w:bidi="ar"/>
              </w:rPr>
              <w:t>决定设计，要求装夹可靠，装卸方便；</w:t>
            </w:r>
            <w:r>
              <w:rPr>
                <w:rFonts w:hint="eastAsia" w:ascii="宋体" w:hAnsi="宋体" w:cs="宋体"/>
                <w:color w:val="000000"/>
                <w:kern w:val="0"/>
                <w:sz w:val="24"/>
                <w:lang w:eastAsia="zh-Hans" w:bidi="ar"/>
              </w:rPr>
              <w:t>经</w:t>
            </w:r>
            <w:r>
              <w:rPr>
                <w:rFonts w:hint="eastAsia" w:ascii="宋体" w:hAnsi="宋体" w:cs="宋体"/>
                <w:color w:val="000000"/>
                <w:kern w:val="0"/>
                <w:sz w:val="24"/>
                <w:lang w:bidi="ar"/>
              </w:rPr>
              <w:t>招标方</w:t>
            </w:r>
            <w:r>
              <w:rPr>
                <w:rFonts w:hint="eastAsia" w:ascii="宋体" w:hAnsi="宋体" w:cs="宋体"/>
                <w:color w:val="000000"/>
                <w:kern w:val="0"/>
                <w:sz w:val="24"/>
                <w:lang w:eastAsia="zh-Hans" w:bidi="ar"/>
              </w:rPr>
              <w:t>审核后，可由招标方进行加工制造。</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8.6.2</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变位机安装在双工位滑台上，实现</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360°旋转，±90°翻转；</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8.6.3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夹紧机构采用手动夹紧，工件在夹具上定位夹紧准确、可靠，便于装卸；</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8.6.4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变位机设计充分考虑通用性，通过调整或更换工装，在一套变位机上实现多种产品的打磨；</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机器人要求:</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机器人本体采用6轴肘节式结构；负载≥80KG;</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机器人第6轴设计应避免打磨机电缆与机器人本体的缠绕，保证打磨过程稳定；</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机械手重复定位精度:≤±0.1mm；</w:t>
            </w:r>
          </w:p>
        </w:tc>
      </w:tr>
      <w:tr>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机器人各轴运动范围：</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J1≥360°</w:t>
            </w:r>
          </w:p>
        </w:tc>
      </w:tr>
      <w:tr>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J2≥225°</w:t>
            </w:r>
          </w:p>
        </w:tc>
      </w:tr>
      <w:tr>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J3≥430°</w:t>
            </w:r>
          </w:p>
        </w:tc>
      </w:tr>
      <w:tr>
        <w:tblPrEx>
          <w:tblCellMar>
            <w:top w:w="0" w:type="dxa"/>
            <w:left w:w="108" w:type="dxa"/>
            <w:bottom w:w="0" w:type="dxa"/>
            <w:right w:w="108" w:type="dxa"/>
          </w:tblCellMar>
        </w:tblPrEx>
        <w:trPr>
          <w:trHeight w:val="61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J4≥720°</w:t>
            </w:r>
          </w:p>
        </w:tc>
      </w:tr>
      <w:tr>
        <w:tblPrEx>
          <w:tblCellMar>
            <w:top w:w="0" w:type="dxa"/>
            <w:left w:w="108" w:type="dxa"/>
            <w:bottom w:w="0" w:type="dxa"/>
            <w:right w:w="108" w:type="dxa"/>
          </w:tblCellMar>
        </w:tblPrEx>
        <w:trPr>
          <w:trHeight w:val="61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J5≥250°</w:t>
            </w:r>
          </w:p>
        </w:tc>
      </w:tr>
      <w:tr>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8.7.4.6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J6≥720°</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机器人各轴最大运动速度：</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J1≥170°/S</w:t>
            </w:r>
          </w:p>
        </w:tc>
      </w:tr>
      <w:tr>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J2≥120°/S</w:t>
            </w:r>
          </w:p>
        </w:tc>
      </w:tr>
      <w:tr>
        <w:tblPrEx>
          <w:tblCellMar>
            <w:top w:w="0" w:type="dxa"/>
            <w:left w:w="108" w:type="dxa"/>
            <w:bottom w:w="0" w:type="dxa"/>
            <w:right w:w="108" w:type="dxa"/>
          </w:tblCellMar>
        </w:tblPrEx>
        <w:trPr>
          <w:trHeight w:val="52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J3≥120°/S</w:t>
            </w:r>
          </w:p>
        </w:tc>
      </w:tr>
      <w:tr>
        <w:tblPrEx>
          <w:tblCellMar>
            <w:top w:w="0" w:type="dxa"/>
            <w:left w:w="108" w:type="dxa"/>
            <w:bottom w:w="0" w:type="dxa"/>
            <w:right w:w="108" w:type="dxa"/>
          </w:tblCellMar>
        </w:tblPrEx>
        <w:trPr>
          <w:trHeight w:val="8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J4≥240°/S</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J5≥210°/S</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8.7.5.6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J6≥300°/S</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机器人手腕允许惯量：</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8.7.6.1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J4≥28kg·㎡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8.7.6.2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J5≥28kg·㎡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8.7.6.3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J4≥11kg·㎡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机器人工作半径：≥2100mm；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8.7.8</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机器人防护等级（腕部）≥IP65；</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8.7.9</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不允许使用已停产或即将停产的机器人；</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8.7.10</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制造商投标机器人的核心零部件（伺服系统、</w:t>
            </w:r>
            <w:r>
              <w:rPr>
                <w:rFonts w:hint="eastAsia" w:ascii="宋体" w:hAnsi="宋体" w:cs="宋体"/>
                <w:color w:val="000000"/>
                <w:kern w:val="0"/>
                <w:sz w:val="24"/>
                <w:lang w:eastAsia="zh-Hans" w:bidi="ar"/>
              </w:rPr>
              <w:t>减速器</w:t>
            </w:r>
            <w:r>
              <w:rPr>
                <w:rFonts w:hint="eastAsia" w:ascii="宋体" w:hAnsi="宋体" w:cs="宋体"/>
                <w:color w:val="000000"/>
                <w:kern w:val="0"/>
                <w:sz w:val="24"/>
                <w:lang w:bidi="ar"/>
              </w:rPr>
              <w:t>、控制系统）实现100%国产化，制造商需具备控制系统自主知识产权。</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电控柜采用安全、双冗余安全回路</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电控柜高度集成、一体化驱动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8.7.13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电控柜配备智能冷却系统，采用智能温控，实时监控柜内温度，环保降噪。</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变位机要求：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变位机的负载要求≥250kg，实现旋转，翻转功能；</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变位机重复定位精度P:≤±0.02°；</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变位机采用国内知名品牌伺服电机驱动；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变位机采用国内一线品牌减速机等机构；</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实现</w:t>
            </w:r>
            <w:r>
              <w:rPr>
                <w:rFonts w:hint="eastAsia" w:ascii="宋体" w:hAnsi="宋体" w:cs="宋体"/>
                <w:color w:val="000000"/>
                <w:kern w:val="0"/>
                <w:sz w:val="24"/>
                <w:lang w:eastAsia="zh-Hans" w:bidi="ar"/>
              </w:rPr>
              <w:t>±</w:t>
            </w:r>
            <w:r>
              <w:rPr>
                <w:rFonts w:hint="eastAsia" w:ascii="宋体" w:hAnsi="宋体" w:cs="宋体"/>
                <w:color w:val="000000"/>
                <w:kern w:val="0"/>
                <w:sz w:val="24"/>
                <w:lang w:bidi="ar"/>
              </w:rPr>
              <w:t>360°旋转，±90°翻转；</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8.8.6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变位机回转轴可与机械手联动，实现轨迹的打磨。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打磨</w:t>
            </w:r>
            <w:r>
              <w:rPr>
                <w:rFonts w:hint="eastAsia" w:ascii="宋体" w:hAnsi="宋体" w:cs="宋体"/>
                <w:color w:val="000000"/>
                <w:kern w:val="0"/>
                <w:sz w:val="24"/>
                <w:lang w:eastAsia="zh-Hans" w:bidi="ar"/>
              </w:rPr>
              <w:t>器具</w:t>
            </w:r>
            <w:r>
              <w:rPr>
                <w:rFonts w:hint="eastAsia" w:ascii="宋体" w:hAnsi="宋体" w:cs="宋体"/>
                <w:color w:val="000000"/>
                <w:kern w:val="0"/>
                <w:sz w:val="24"/>
                <w:lang w:bidi="ar"/>
              </w:rPr>
              <w:t>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砂带机：机器人抓取砂带打磨，可更换不同种类及目数额砂带</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力补偿范围：5-300NM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力控精度≤3N</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位置补偿≥20mm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位置精度≤0.05mm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磨削功率≥1kw</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线速度≥15m/s</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8.9.8</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额定电压：220V</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8.9.9</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额定扭矩≥3.2NM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8.9.10</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额定转速≥3000RPM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额定工具负载≥15kg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砂带宽度≥50mm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冷却方式：风冷</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8.9.14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总重量≤16kg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力控执行器：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可根据工作需要对末端工具进行重力补偿并精确输出平行于机械臂轴向的接触力，同时该装置可根据接触力表面的轮廓特征进行自适应伸缩。</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接触力调节范围：5-300NM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行程≥20mm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力控精度≤3N</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位置精度≤0.05mm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8.10.6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额定工具负载≥15kg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ascii="宋体" w:hAnsi="宋体"/>
                <w:sz w:val="24"/>
              </w:rPr>
              <w:t>8.</w:t>
            </w:r>
            <w:r>
              <w:rPr>
                <w:rFonts w:hint="eastAsia" w:ascii="宋体" w:hAnsi="宋体"/>
                <w:sz w:val="24"/>
              </w:rPr>
              <w:t>10.7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自重≤6.5kg</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kern w:val="0"/>
                <w:sz w:val="24"/>
                <w:lang w:bidi="ar"/>
              </w:rPr>
              <w:t>耗材自动更换系统:</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kern w:val="0"/>
                <w:sz w:val="24"/>
                <w:lang w:bidi="ar"/>
              </w:rPr>
              <w:t>可用于打磨砂带的自动更换，存储量≥3条</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kern w:val="0"/>
                <w:sz w:val="24"/>
                <w:lang w:bidi="ar"/>
              </w:rPr>
              <w:t>控制方式：I/O</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8.11.3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kern w:val="0"/>
                <w:sz w:val="24"/>
                <w:lang w:bidi="ar"/>
              </w:rPr>
              <w:t>电源要求：24V</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视觉识别系统:</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数据获取功能：数据包含灰度图像数据、深度图像数据和三维点云数据。</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分辨率（MP）≥120</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XY方向分辨率(mm)≤0.1</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Z轴单点重复精度（mm)≤0.1</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Z轴区域重复精度（mm)≤0.1</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光源：蓝色</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支持第三者开发</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8.12.8</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eastAsia="zh-Hans" w:bidi="ar"/>
              </w:rPr>
              <w:t>经过扫描可</w:t>
            </w:r>
            <w:r>
              <w:rPr>
                <w:rFonts w:hint="eastAsia" w:ascii="宋体" w:hAnsi="宋体" w:cs="宋体"/>
                <w:color w:val="000000"/>
                <w:kern w:val="0"/>
                <w:sz w:val="24"/>
                <w:lang w:bidi="ar"/>
              </w:rPr>
              <w:t>形成3D点云图像，经过在线视觉处理，识别当前工件位置与示教位置的坐标偏差</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8.12.9</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经过3D点云突变分析，确定焊缝位置，并给出机器人实际打磨位置点位</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lang w:eastAsia="zh-Hans"/>
              </w:rPr>
            </w:pPr>
            <w:r>
              <w:rPr>
                <w:rFonts w:hint="eastAsia" w:ascii="宋体" w:hAnsi="宋体" w:cs="宋体"/>
                <w:color w:val="000000"/>
                <w:kern w:val="0"/>
                <w:sz w:val="24"/>
                <w:lang w:bidi="ar"/>
              </w:rPr>
              <w:t>安全围栏及</w:t>
            </w:r>
            <w:r>
              <w:rPr>
                <w:rFonts w:hint="eastAsia" w:ascii="宋体" w:hAnsi="宋体" w:cs="宋体"/>
                <w:color w:val="000000"/>
                <w:kern w:val="0"/>
                <w:sz w:val="24"/>
                <w:lang w:eastAsia="zh-Hans" w:bidi="ar"/>
              </w:rPr>
              <w:t>防护</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8.13.1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lang w:eastAsia="zh-Hans"/>
              </w:rPr>
            </w:pPr>
            <w:r>
              <w:rPr>
                <w:rFonts w:hint="eastAsia" w:ascii="宋体" w:hAnsi="宋体" w:cs="宋体"/>
                <w:color w:val="000000"/>
                <w:sz w:val="24"/>
                <w:lang w:eastAsia="zh-Hans"/>
              </w:rPr>
              <w:t>安全防护网用于隔离设备工作区和非工作区，在设备运行过程中，保护操作者人身安全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8.13.2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lang w:eastAsia="zh-Hans"/>
              </w:rPr>
            </w:pPr>
            <w:r>
              <w:rPr>
                <w:rFonts w:hint="eastAsia" w:ascii="宋体" w:hAnsi="宋体" w:cs="宋体"/>
                <w:color w:val="000000"/>
                <w:sz w:val="24"/>
                <w:lang w:eastAsia="zh-Hans"/>
              </w:rPr>
              <w:t>防护网为金属丝网结构，间隔一定距离设置金属立柱，防护网高度约</w:t>
            </w:r>
            <w:r>
              <w:rPr>
                <w:rFonts w:ascii="宋体" w:hAnsi="宋体" w:cs="宋体"/>
                <w:color w:val="000000"/>
                <w:sz w:val="24"/>
                <w:lang w:eastAsia="zh-Hans"/>
              </w:rPr>
              <w:t>1500</w:t>
            </w:r>
            <w:r>
              <w:rPr>
                <w:rFonts w:hint="eastAsia" w:ascii="宋体" w:hAnsi="宋体" w:cs="宋体"/>
                <w:color w:val="000000"/>
                <w:sz w:val="24"/>
                <w:lang w:eastAsia="zh-Hans"/>
              </w:rPr>
              <w:t>mm</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8.13.3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lang w:eastAsia="zh-Hans"/>
              </w:rPr>
            </w:pPr>
            <w:r>
              <w:rPr>
                <w:rFonts w:hint="eastAsia" w:ascii="宋体" w:hAnsi="宋体" w:cs="宋体"/>
                <w:color w:val="000000"/>
                <w:sz w:val="24"/>
                <w:lang w:eastAsia="zh-Hans"/>
              </w:rPr>
              <w:t>防护网面积应包括机器人运行最大可达范围</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8.13.4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防护网周边设置报警装置，当设备处于自动运行模式时，如人员进入工作区域，则进行声光报警，同步设备停机。</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电气系统包含电控柜、可编程逻辑控制器、HMI、电机驱动、安全门锁及其它低压电器等，在设备正常工作时，需在触摸屏上显示相关的设备状态信息（并有防误触功能）；当发生故障时，可自动执行响应的报警、停机等工作。</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设备需配备必要的软件系统，包含机器人软件包、力控系统软件包、视觉系统软件包等。</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eastAsia="zh-Hans" w:bidi="ar"/>
              </w:rPr>
              <w:t>接口</w:t>
            </w:r>
            <w:r>
              <w:rPr>
                <w:rFonts w:hint="eastAsia" w:ascii="宋体" w:hAnsi="宋体" w:cs="宋体"/>
                <w:color w:val="000000"/>
                <w:kern w:val="0"/>
                <w:sz w:val="24"/>
                <w:lang w:bidi="ar"/>
              </w:rPr>
              <w:t>:</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8.16.1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设备需预留MES系统接口</w:t>
            </w:r>
            <w:r>
              <w:rPr>
                <w:rFonts w:hint="eastAsia" w:ascii="宋体" w:hAnsi="宋体" w:cs="宋体"/>
                <w:color w:val="000000"/>
                <w:kern w:val="0"/>
                <w:sz w:val="24"/>
                <w:lang w:eastAsia="zh-Hans" w:bidi="ar"/>
              </w:rPr>
              <w:t>，可与客户现有或将建设的系统对接进行数据采集。</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8.16.2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各个子系统之间需通过工业以太网连接，建立基于</w:t>
            </w:r>
            <w:r>
              <w:rPr>
                <w:rFonts w:ascii="宋体" w:hAnsi="宋体" w:cs="宋体"/>
                <w:color w:val="000000"/>
                <w:kern w:val="0"/>
                <w:sz w:val="24"/>
                <w:lang w:eastAsia="zh-Hans" w:bidi="ar"/>
              </w:rPr>
              <w:t>TCP/IP</w:t>
            </w:r>
            <w:r>
              <w:rPr>
                <w:rFonts w:hint="eastAsia" w:ascii="宋体" w:hAnsi="宋体" w:cs="宋体"/>
                <w:color w:val="000000"/>
                <w:kern w:val="0"/>
                <w:sz w:val="24"/>
                <w:lang w:eastAsia="zh-Hans" w:bidi="ar"/>
              </w:rPr>
              <w:t>协议和</w:t>
            </w:r>
            <w:r>
              <w:rPr>
                <w:rFonts w:ascii="宋体" w:hAnsi="宋体" w:cs="宋体"/>
                <w:color w:val="000000"/>
                <w:kern w:val="0"/>
                <w:sz w:val="24"/>
                <w:lang w:eastAsia="zh-Hans" w:bidi="ar"/>
              </w:rPr>
              <w:t>W</w:t>
            </w:r>
            <w:r>
              <w:rPr>
                <w:rFonts w:hint="eastAsia" w:ascii="宋体" w:hAnsi="宋体" w:cs="宋体"/>
                <w:color w:val="000000"/>
                <w:kern w:val="0"/>
                <w:sz w:val="24"/>
                <w:lang w:eastAsia="zh-Hans" w:bidi="ar"/>
              </w:rPr>
              <w:t>indows</w:t>
            </w:r>
            <w:r>
              <w:rPr>
                <w:rFonts w:ascii="宋体" w:hAnsi="宋体" w:cs="宋体"/>
                <w:color w:val="000000"/>
                <w:kern w:val="0"/>
                <w:sz w:val="24"/>
                <w:lang w:eastAsia="zh-Hans" w:bidi="ar"/>
              </w:rPr>
              <w:t xml:space="preserve"> S</w:t>
            </w:r>
            <w:r>
              <w:rPr>
                <w:rFonts w:hint="eastAsia" w:ascii="宋体" w:hAnsi="宋体" w:cs="宋体"/>
                <w:color w:val="000000"/>
                <w:kern w:val="0"/>
                <w:sz w:val="24"/>
                <w:lang w:eastAsia="zh-Hans" w:bidi="ar"/>
              </w:rPr>
              <w:t>ocket建立通讯接口模块</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8.16.3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硬件接口：所有设备之间采用国际标准接口，通用可靠。</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8.16.4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软件接口：用于各设备之间的数据集成，实现系统之间的数据传输、设备启停等</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设备需要满足的工作条件：</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8.17.1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电源：380V±10%，50Hz</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8.17.2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环境温度：0℃～+45℃</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8.17.3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相对湿度：40%～90%</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8.17.4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压缩空气：0.4～0.6MPa</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rPr>
                <w:rFonts w:hint="eastAsia" w:ascii="宋体" w:hAnsi="宋体" w:cs="宋体"/>
                <w:b/>
                <w:color w:val="000000"/>
                <w:kern w:val="0"/>
                <w:sz w:val="24"/>
                <w:lang w:bidi="ar"/>
              </w:rPr>
              <w:t>技术文件和图纸要求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技术文件及图纸的内容涵盖技术文件、标准、手册、图纸、软件/程序以及技术文件和图纸的确认清单、技术文件和图纸的交付清单等，包括纸质文件和电子文件</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提供的图纸、手册和技术文件应充分、广泛和详细地说明设备及其部件的性能、原理、结构和尺寸以及部件的型号、规格和技术参数，使招标方能够实现对设备的操作、检查、修理、试验、调整和维护。有关的设计图纸、软件及程序应无保留提供，投标方不应以产品的保密拒绝提供这些文件，但招标方承诺为投标方保密</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投标方提交的文件和图纸均应符合中国的制图标准（尺寸标注都应使用公制）</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投标方的技术文件、图纸和手册以中文或中文、英文对照形式提供。投标文件应包括工程图和文件两部分，投标文件还须提供电子版，随纸质版投标文件一起递交。</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为了明确设备与其他系统的接口，所需要的有关设备的技术资料，投标方应予提供</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技术文件在设备使用过程中有更新时，中标方应及时向招标方提供最新的更新部分</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9.7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投标方应对所提供的全部文件的正确性、完备性和及时性负完全责任</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rPr>
                <w:rFonts w:hint="eastAsia" w:ascii="宋体" w:hAnsi="宋体" w:cs="宋体"/>
                <w:b/>
                <w:color w:val="000000"/>
                <w:kern w:val="0"/>
                <w:sz w:val="24"/>
                <w:lang w:bidi="ar"/>
              </w:rPr>
              <w:t>投标要求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投标方需进行方案设计，包含设计、制造、安装调试等方面内容。设计方案中注明设计的依据。投标方必须在设计方案中，对设备的机械、电气、控制的设计进行具体描述，包括对所选用的材料、设备的详细说明</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设备应完全能符合国家标准中与其相关的各项检测要求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10.3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招标文件中未注明品牌的材料、产品、设备应理解为是符合国家、地方和行业相关质量标准并获得相关合格证书的材料、产品和设备</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rPr>
                <w:rFonts w:hint="eastAsia" w:ascii="宋体" w:hAnsi="宋体" w:cs="宋体"/>
                <w:b/>
                <w:color w:val="000000"/>
                <w:kern w:val="0"/>
                <w:sz w:val="24"/>
                <w:lang w:bidi="ar"/>
              </w:rPr>
              <w:t>实施要求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中标方完成项目设计后，必须组织详细方案评审，才可以进行制造组装。招标方有权要求中标方更改未经批准的设备和系统，中标方必须遵守。设计审核的地点由招标方决定，时间根据由双方共同确认的项目进度确定。设计审核依据招标方对设备的基本要求、技术规格等。设计审核认可仅代表招标方对招标需求落实情况进行认可，并不对设计负责，中标方在任何情况下都对产品负全部责任</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中标方应在详细方案评审前准备好最新图纸用于评审</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rPr>
                <w:rFonts w:hint="eastAsia" w:ascii="宋体" w:hAnsi="宋体" w:cs="宋体"/>
                <w:b/>
                <w:color w:val="000000"/>
                <w:kern w:val="0"/>
                <w:sz w:val="24"/>
                <w:lang w:bidi="ar"/>
              </w:rPr>
              <w:t>设备验收要求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12.1</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w:t>
            </w:r>
          </w:p>
          <w:p>
            <w:pPr>
              <w:pStyle w:val="77"/>
              <w:numPr>
                <w:ilvl w:val="0"/>
                <w:numId w:val="10"/>
              </w:numPr>
              <w:spacing w:before="0" w:beforeLines="0" w:after="0" w:afterLines="0"/>
              <w:rPr>
                <w:rFonts w:ascii="宋体" w:hAnsi="宋体" w:eastAsia="宋体"/>
                <w:bCs/>
                <w:szCs w:val="24"/>
              </w:rPr>
            </w:pPr>
            <w:r>
              <w:rPr>
                <w:rFonts w:hint="eastAsia" w:ascii="宋体" w:hAnsi="宋体" w:eastAsia="宋体"/>
                <w:bCs/>
                <w:szCs w:val="24"/>
              </w:rPr>
              <w:t>机匣焊缝机器人自动打磨工艺规范1份；</w:t>
            </w:r>
          </w:p>
          <w:p>
            <w:pPr>
              <w:pStyle w:val="77"/>
              <w:numPr>
                <w:ilvl w:val="0"/>
                <w:numId w:val="10"/>
              </w:numPr>
              <w:spacing w:before="0" w:beforeLines="0" w:after="0" w:afterLines="0"/>
              <w:rPr>
                <w:rFonts w:ascii="宋体" w:hAnsi="宋体" w:eastAsia="宋体"/>
                <w:bCs/>
                <w:szCs w:val="24"/>
              </w:rPr>
            </w:pPr>
            <w:r>
              <w:rPr>
                <w:rFonts w:hint="eastAsia" w:ascii="宋体" w:hAnsi="宋体" w:eastAsia="宋体"/>
                <w:bCs/>
                <w:szCs w:val="24"/>
              </w:rPr>
              <w:t>机匣焊缝机器人自动打磨详细方案1份；</w:t>
            </w:r>
          </w:p>
          <w:p>
            <w:pPr>
              <w:pStyle w:val="77"/>
              <w:numPr>
                <w:ilvl w:val="0"/>
                <w:numId w:val="10"/>
              </w:numPr>
              <w:spacing w:before="0" w:beforeLines="0" w:after="0" w:afterLines="0"/>
              <w:rPr>
                <w:rFonts w:ascii="宋体" w:hAnsi="宋体" w:eastAsia="宋体"/>
                <w:bCs/>
                <w:szCs w:val="24"/>
              </w:rPr>
            </w:pPr>
            <w:r>
              <w:rPr>
                <w:rFonts w:hint="eastAsia" w:ascii="宋体" w:hAnsi="宋体" w:eastAsia="宋体"/>
                <w:bCs/>
                <w:szCs w:val="24"/>
              </w:rPr>
              <w:t>机匣焊缝打磨验收总结报告1份；</w:t>
            </w:r>
          </w:p>
          <w:p>
            <w:pPr>
              <w:pStyle w:val="77"/>
              <w:numPr>
                <w:ilvl w:val="0"/>
                <w:numId w:val="10"/>
              </w:numPr>
              <w:spacing w:before="0" w:beforeLines="0" w:after="0" w:afterLines="0"/>
              <w:rPr>
                <w:rFonts w:ascii="宋体" w:hAnsi="宋体" w:eastAsia="宋体"/>
                <w:bCs/>
                <w:szCs w:val="24"/>
              </w:rPr>
            </w:pPr>
            <w:r>
              <w:rPr>
                <w:rFonts w:hint="eastAsia" w:ascii="宋体" w:hAnsi="宋体" w:eastAsia="宋体"/>
                <w:bCs/>
                <w:szCs w:val="24"/>
              </w:rPr>
              <w:t>软件测试报告1份；</w:t>
            </w:r>
          </w:p>
          <w:p>
            <w:pPr>
              <w:pStyle w:val="77"/>
              <w:numPr>
                <w:ilvl w:val="0"/>
                <w:numId w:val="10"/>
              </w:numPr>
              <w:spacing w:before="0" w:beforeLines="0" w:after="0" w:afterLines="0"/>
              <w:rPr>
                <w:rFonts w:ascii="宋体" w:hAnsi="宋体" w:eastAsia="宋体"/>
                <w:bCs/>
                <w:szCs w:val="24"/>
              </w:rPr>
            </w:pPr>
            <w:r>
              <w:rPr>
                <w:rFonts w:hint="eastAsia" w:ascii="宋体" w:hAnsi="宋体" w:eastAsia="宋体"/>
                <w:bCs/>
                <w:szCs w:val="24"/>
              </w:rPr>
              <w:t>工装测试、设备测试报告一份；</w:t>
            </w:r>
          </w:p>
          <w:p>
            <w:pPr>
              <w:pStyle w:val="77"/>
              <w:numPr>
                <w:ilvl w:val="0"/>
                <w:numId w:val="10"/>
              </w:numPr>
              <w:spacing w:before="0" w:beforeLines="0" w:after="0" w:afterLines="0"/>
              <w:rPr>
                <w:rFonts w:ascii="宋体" w:hAnsi="宋体" w:eastAsia="宋体" w:cs="宋体"/>
                <w:color w:val="000000"/>
                <w:kern w:val="0"/>
                <w:szCs w:val="24"/>
                <w:lang w:bidi="ar"/>
              </w:rPr>
            </w:pPr>
            <w:r>
              <w:rPr>
                <w:rFonts w:hint="eastAsia" w:ascii="宋体" w:hAnsi="宋体" w:eastAsia="宋体"/>
                <w:bCs/>
                <w:szCs w:val="24"/>
              </w:rPr>
              <w:t xml:space="preserve">焊缝打磨机器人系统1套及配套软硬件； </w:t>
            </w:r>
          </w:p>
          <w:p>
            <w:pPr>
              <w:pStyle w:val="77"/>
              <w:numPr>
                <w:ilvl w:val="0"/>
                <w:numId w:val="10"/>
              </w:numPr>
              <w:spacing w:before="0" w:beforeLines="0" w:after="0" w:afterLines="0"/>
              <w:rPr>
                <w:rFonts w:ascii="宋体" w:hAnsi="宋体" w:eastAsia="宋体" w:cs="宋体"/>
                <w:color w:val="000000"/>
                <w:kern w:val="0"/>
                <w:szCs w:val="24"/>
                <w:lang w:bidi="ar"/>
              </w:rPr>
            </w:pPr>
            <w:r>
              <w:rPr>
                <w:rFonts w:hint="eastAsia" w:ascii="宋体" w:hAnsi="宋体" w:eastAsia="宋体"/>
                <w:bCs/>
                <w:szCs w:val="24"/>
              </w:rPr>
              <w:t>打磨系统使用手册。</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设备验收程序</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验收包括：预验收、安装调试、终验收。其中，投（中）标方的责任为：预验收时提供与项目相关全套的技术资料；设备的运输、就位、安装与调试；应严格遵守相关劳动安全法规，在设备安装、调试、试运行和验收活动中对参与人员和设备的安全全权负责</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bCs/>
                <w:sz w:val="24"/>
              </w:rPr>
              <w:t>当货物到达买方指定的安装现场后，依据约定的时间，买卖双方依据供货清单共同对货物进行验收。如用户发现所提供货物的品质和技术规范不符合合同要求时，用户有权向卖方提出更换及索赔要求。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bCs/>
                <w:sz w:val="24"/>
              </w:rPr>
              <w:t>项目验收由买方组织，买方按相关合同及技术协议内容中约定的技术指标对中标人提供的系统进行测试验收，实现系统功能后，由验收小组出具相应的验收报告。</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预验收</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12.2.4.1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关键设备发运前，中标方向招标方提出预验收申请，该验收在中标方制造现场进行</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12.2.4.2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验收内容：招标方派技术人员按合同中所规定的技术要求在发货前 1 周，对中标方的设备各项功能进行验收。招标方验收人员到达中标方现场至完成预验收应在 1 周内完成。预验收通过后，双方签署预验收报告，中标方发货</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12.2.4.3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如果因为中标方的原因造成设备预验收不合格时，允许其在招标方要求时间之内完成整改，再邀请招标方进行第二次预验收，第二次预验收的所有费用均由中标方承担。第二次预验收仍不合格，招标方有权退货并索赔</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安装调试</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lang w:eastAsia="zh-Hans"/>
              </w:rPr>
            </w:pPr>
            <w:r>
              <w:rPr>
                <w:rFonts w:hint="eastAsia" w:ascii="宋体" w:hAnsi="宋体" w:cs="宋体"/>
                <w:color w:val="000000"/>
                <w:kern w:val="0"/>
                <w:sz w:val="24"/>
                <w:lang w:bidi="ar"/>
              </w:rPr>
              <w:t>本项目为</w:t>
            </w:r>
            <w:r>
              <w:rPr>
                <w:rFonts w:hint="eastAsia" w:ascii="宋体" w:hAnsi="宋体" w:cs="宋体"/>
                <w:color w:val="000000"/>
                <w:kern w:val="0"/>
                <w:sz w:val="24"/>
                <w:lang w:eastAsia="zh-Hans" w:bidi="ar"/>
              </w:rPr>
              <w:t>联合开发项目</w:t>
            </w:r>
            <w:r>
              <w:rPr>
                <w:rFonts w:hint="eastAsia" w:ascii="宋体" w:hAnsi="宋体" w:cs="宋体"/>
                <w:color w:val="000000"/>
                <w:kern w:val="0"/>
                <w:sz w:val="24"/>
                <w:lang w:bidi="ar"/>
              </w:rPr>
              <w:t>。投标方负责设备的安装调试，招标方配合。投标方负责设备的运输、就位、安装、调试及试运行直至</w:t>
            </w:r>
            <w:r>
              <w:rPr>
                <w:rFonts w:hint="eastAsia" w:ascii="宋体" w:hAnsi="宋体" w:cs="宋体"/>
                <w:color w:val="000000"/>
                <w:kern w:val="0"/>
                <w:sz w:val="24"/>
                <w:lang w:eastAsia="zh-Hans" w:bidi="ar"/>
              </w:rPr>
              <w:t>达到验收指标</w:t>
            </w:r>
            <w:r>
              <w:rPr>
                <w:rFonts w:hint="eastAsia" w:ascii="宋体" w:hAnsi="宋体" w:cs="宋体"/>
                <w:color w:val="000000"/>
                <w:kern w:val="0"/>
                <w:sz w:val="24"/>
                <w:lang w:bidi="ar"/>
              </w:rPr>
              <w:t>全过程（安全、设备管理、消防等）</w:t>
            </w:r>
            <w:r>
              <w:rPr>
                <w:rFonts w:hint="eastAsia" w:ascii="宋体" w:hAnsi="宋体" w:cs="宋体"/>
                <w:color w:val="000000"/>
                <w:kern w:val="0"/>
                <w:sz w:val="24"/>
                <w:lang w:eastAsia="zh-Hans" w:bidi="ar"/>
              </w:rPr>
              <w:t>。后续</w:t>
            </w:r>
            <w:r>
              <w:rPr>
                <w:rFonts w:hint="eastAsia" w:ascii="宋体" w:hAnsi="宋体" w:cs="宋体"/>
                <w:color w:val="000000"/>
                <w:kern w:val="0"/>
                <w:sz w:val="24"/>
                <w:lang w:bidi="ar"/>
              </w:rPr>
              <w:t>中</w:t>
            </w:r>
            <w:r>
              <w:rPr>
                <w:rFonts w:hint="eastAsia" w:ascii="宋体" w:hAnsi="宋体" w:cs="宋体"/>
                <w:color w:val="000000"/>
                <w:kern w:val="0"/>
                <w:sz w:val="24"/>
                <w:lang w:eastAsia="zh-Hans" w:bidi="ar"/>
              </w:rPr>
              <w:t>标方需</w:t>
            </w:r>
            <w:r>
              <w:rPr>
                <w:rFonts w:hint="eastAsia" w:ascii="宋体" w:hAnsi="宋体" w:cs="宋体"/>
                <w:color w:val="000000"/>
                <w:kern w:val="0"/>
                <w:sz w:val="24"/>
                <w:lang w:bidi="ar"/>
              </w:rPr>
              <w:t>配合招标方</w:t>
            </w:r>
            <w:r>
              <w:rPr>
                <w:rFonts w:hint="eastAsia" w:ascii="宋体" w:hAnsi="宋体" w:cs="宋体"/>
                <w:color w:val="000000"/>
                <w:kern w:val="0"/>
                <w:sz w:val="24"/>
                <w:lang w:eastAsia="zh-Hans" w:bidi="ar"/>
              </w:rPr>
              <w:t>进行产品的联合开发，对于更多型号的零部件打磨工艺进行联合开发。</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到货后，投标方安排专业技术人员进行安装、调试和报检，调试直至可以连续稳定地运行；设备调试完毕后，由招标方相关部门检验合格，进行最终验收，设备验收以终验收为准</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在设备的调试当中，由于设备质量或安装调试的问题导致交付使用日期超出合同期限，投标方应承担全部责任，并按合同金额的5‰进行处罚。</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安装过程中应严格执行安全保护及消防安全的有关规定。充分考虑到施工及使用人员的安全因素，预防各种意外事故发生。投标方在安装调试过程中应当自觉遵守招标方相关规章制度，对所有参与项目并在招标方生产区域内工作的人员进行安全生产教育，告知岗位的操作规程和违章操作的危害，提供必需的安全防护用具和安全防护服装。投标方对项目实施过程中的安全生产全面负责</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12.2.5.5</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cs="宋体"/>
                <w:color w:val="000000"/>
                <w:kern w:val="0"/>
                <w:sz w:val="24"/>
                <w:lang w:bidi="ar"/>
              </w:rPr>
              <w:t>安装工程的安全技术、环境保护等应按国家有关现行规定及招标方的要求执行</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sz w:val="24"/>
              </w:rPr>
              <w:t>12.2.5</w:t>
            </w:r>
            <w:r>
              <w:rPr>
                <w:rFonts w:hint="eastAsia" w:ascii="宋体" w:hAnsi="宋体" w:cs="宋体"/>
                <w:color w:val="000000"/>
                <w:kern w:val="0"/>
                <w:sz w:val="24"/>
                <w:lang w:bidi="ar"/>
              </w:rPr>
              <w:t>.6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设备的安装应严格按批准的图纸进行施工。如有疑问或变更，须经招标人同意</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终验收</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12.2.6.1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验收依据：按招投标文件、技术协议和相关规范执行</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12.2.6.2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bCs/>
              </w:rPr>
              <w:t>验收地点：四川省成都市新都区蜀龙大道南段成发工业园。</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易损件及专用耗材</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易损件是指是招标方为保证设备质保期满之后一年内正常运行（两班制）可能需要更换的零部件。专用耗材是指设备安装、调试、验收和维修所必需的专用工具和检具，以及验收用的辅助材料及消耗品。投标方应提供满足设备正常运行所需的备品备件，生产耗材由招标方提供。</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根据投标方的实际经验，在投标时提供必需的易损件明细清单，包括名称、规格、数量、单价、生产厂家等</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投标方应提供设备安装、调试、验收和维修（含润滑、调整、保养）所必需的专用工具和检具，并附详细清单</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如果终验收完成后，投标方有需要收回的配件、附件、材料等，应当在投标文件的有关条款中予以说明，否则视同包括在供货范围之内</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设备在投标方制造中的调试、预验收用的辅助材料及消耗品（液压油、润滑油等）由投标方提供</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12.3.6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投标方应提供易损件和专用耗材的制造图纸及其技术要求等资料，如涉及专有技术或无法提供，应在投标文件中予以澄清或说明</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b/>
                <w:sz w:val="24"/>
              </w:rPr>
              <w:t>质保及其售后要求：</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验收后，质保期不低于一年。保修期内免费提供及更换、维修零件和及时有效的技术服务（在接到用户故障信息后要求2小时内响应,24小时内到达现场排故,五个工作日内排除故障）。质保期内所更换部件，从更换之日起重新计算质保期；</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当设备质保期过后，依然能提供广泛的优惠的技术支持、设备备件供应。</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在试生产过程中，中标方对设备的关键能力参数进行测试分析，选择的参数及标准在设计审核时必须经过招标方确认。在终验收之前提交测试报告</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设备终验收后投标人有义务提供免费技术援助，以确保招标人熟练应用。</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13.5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中标方承诺在质保期后按成本价为系统提供零部件、附件或正确的替代件。质保期后中标方提供备品备件的长期供货支持，当某些零部件的型号停产后，中标方协助招标方找到替代品</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rPr>
                <w:rFonts w:hint="eastAsia" w:ascii="宋体" w:hAnsi="宋体" w:cs="宋体"/>
                <w:b/>
                <w:color w:val="000000"/>
                <w:kern w:val="0"/>
                <w:sz w:val="24"/>
                <w:lang w:bidi="ar"/>
              </w:rPr>
              <w:t>技术服务培训：</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安装调试阶段，在招标方设备安装现场，结合设备安装、调试和运行试验过程，中标方对招标方的相关人员进行培训。包括设备的机构、原理、调试、控制、操作、保养、检修及安全规程等知识和技能的系统培训</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14.2</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培训人员：招标方接受培训的人员包括：设备管理人员、计算机系统支持人员、设备维修人员、业务人员</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14.3</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培训教师及教材：中标方派出人员去招标方单位对人员进行系统培训，培训教师应至少包括两名熟悉设备机械及电气工作原理、调试和检修技术的机械工程师和电气工程师。对招标方人员的培训。</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14.4</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验收后，质保期不低于一年。保修期内免费提供及更换、维修零件和及时有效的技术服务（在接到用户故障信息后要求2小时内响应,24小时内到达现场排故,五个工作日内排除故障）。质保期内所更换部件，从更换之日起重新计算质保期；</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制造商优先选择在川渝地区有售后服务机构的，并提供相关证明。所有设备在调试及质保期内应免费提供及更换、维修零件和及时有效的技术服务（在接到用户故障信息后要求2小时内响应,5小时内到达现场排故,五个工作日内排除故障）。</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14.6</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卖方应具备向用户提供优质和及时售后服务的能力,国外供应商在中国具有自己的代表处和具有备件库的维修中心(提供相应资质)。保修期过后，仍能提供全面优惠的技术支持及备件供应；</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14.7</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安装、调试、验收、培训及技术服务费用分项报价并计入投标总价。</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15</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设备包装要求及运输方式：</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15.1</w:t>
            </w:r>
          </w:p>
        </w:tc>
        <w:tc>
          <w:tcPr>
            <w:tcW w:w="84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卖方应对设备运输的安全负责</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16</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b/>
                <w:sz w:val="24"/>
              </w:rPr>
            </w:pPr>
            <w:r>
              <w:rPr>
                <w:rFonts w:hint="eastAsia" w:ascii="宋体" w:hAnsi="宋体"/>
                <w:b/>
                <w:sz w:val="24"/>
              </w:rPr>
              <w:t>项目实施及服务要求</w:t>
            </w:r>
            <w:r>
              <w:rPr>
                <w:rFonts w:ascii="宋体" w:hAnsi="宋体"/>
                <w:b/>
                <w:sz w:val="24"/>
              </w:rPr>
              <w:t>：</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1</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卖方应结合买方现场实际及需求，合理规划实施进度，满足买方对项目时间节点的要求（2024年06月内完成所有任务，提前上线试运行2个月）。</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16.</w:t>
            </w:r>
            <w:r>
              <w:rPr>
                <w:rFonts w:ascii="宋体" w:hAnsi="宋体"/>
                <w:sz w:val="24"/>
              </w:rPr>
              <w:t>2</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卖方负责在买方现场进行平台</w:t>
            </w:r>
            <w:r>
              <w:rPr>
                <w:rFonts w:ascii="宋体" w:hAnsi="宋体"/>
                <w:sz w:val="24"/>
              </w:rPr>
              <w:t>部署</w:t>
            </w:r>
            <w:r>
              <w:rPr>
                <w:rFonts w:hint="eastAsia" w:ascii="宋体" w:hAnsi="宋体"/>
                <w:sz w:val="24"/>
              </w:rPr>
              <w:t>，并对买方人员进行15课时的系统操作培训。</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仿宋_GB2312" w:cs="仿宋_GB2312"/>
                <w:sz w:val="24"/>
              </w:rPr>
            </w:pPr>
            <w:r>
              <w:rPr>
                <w:rFonts w:hint="eastAsia" w:ascii="宋体" w:hAnsi="宋体"/>
                <w:sz w:val="24"/>
              </w:rPr>
              <w:t>本项目科技成果的知识产权必须归属中国航发航空科技股份有限公司，承接单位及其人员申报奖项需由中国航发航发科技审批。</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17</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eastAsiaTheme="minorEastAsia"/>
                <w:sz w:val="24"/>
              </w:rPr>
              <w:t>询比价项目参与人</w:t>
            </w:r>
            <w:r>
              <w:rPr>
                <w:rFonts w:hint="eastAsia" w:eastAsiaTheme="minorEastAsia"/>
                <w:sz w:val="24"/>
              </w:rPr>
              <w:t>必须对本标书技术条款作出技术参数偏离表和对一些技术要求的承诺表态</w:t>
            </w:r>
            <w:r>
              <w:rPr>
                <w:rFonts w:eastAsiaTheme="minorEastAsia"/>
                <w:sz w:val="24"/>
              </w:rPr>
              <w:t>,</w:t>
            </w:r>
            <w:r>
              <w:rPr>
                <w:rFonts w:hint="eastAsia" w:eastAsiaTheme="minorEastAsia"/>
                <w:sz w:val="24"/>
              </w:rPr>
              <w:t>任何对具体内容回避答复或不响应</w:t>
            </w:r>
            <w:r>
              <w:rPr>
                <w:rFonts w:eastAsiaTheme="minorEastAsia"/>
                <w:sz w:val="24"/>
              </w:rPr>
              <w:t>,</w:t>
            </w:r>
            <w:r>
              <w:rPr>
                <w:rFonts w:hint="eastAsia" w:eastAsiaTheme="minorEastAsia"/>
                <w:sz w:val="24"/>
              </w:rPr>
              <w:t>都可视为对该条款的偏离。</w:t>
            </w:r>
          </w:p>
        </w:tc>
      </w:tr>
      <w:tr>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18</w:t>
            </w:r>
          </w:p>
        </w:tc>
        <w:tc>
          <w:tcPr>
            <w:tcW w:w="847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投标书应以中文或中、英文两种文字编写，签字，投标书应有中文目录，内容按目录顺序汇册。</w:t>
            </w:r>
          </w:p>
        </w:tc>
      </w:tr>
    </w:tbl>
    <w:p/>
    <w:p>
      <w:r>
        <w:rPr/>
        <w:br w:type="textWrapping" w:clear="all"/>
      </w:r>
    </w:p>
    <w:p/>
    <w:p/>
    <w:p/>
    <w:p/>
    <w:p/>
    <w:p>
      <w:pPr>
        <w:widowControl/>
        <w:jc w:val="left"/>
      </w:pPr>
      <w:r>
        <w:br w:type="page"/>
      </w:r>
    </w:p>
    <w:p/>
    <w:p>
      <w:pPr>
        <w:pStyle w:val="2"/>
        <w:numPr>
          <w:ilvl w:val="0"/>
          <w:numId w:val="0"/>
        </w:numPr>
        <w:ind w:left="480"/>
        <w:jc w:val="center"/>
      </w:pPr>
      <w:r>
        <w:rPr>
          <w:rFonts w:hint="eastAsia"/>
        </w:rPr>
        <w:t>第四部分 附件</w:t>
      </w:r>
    </w:p>
    <w:p>
      <w:pPr>
        <w:pStyle w:val="3"/>
      </w:pPr>
      <w:r>
        <w:rPr>
          <w:rFonts w:hint="eastAsia"/>
        </w:rPr>
        <w:t>附件</w:t>
      </w:r>
      <w:r>
        <w:t>1</w:t>
      </w:r>
      <w:r>
        <w:rPr>
          <w:rFonts w:hint="eastAsia"/>
        </w:rPr>
        <w:t>：</w:t>
      </w:r>
    </w:p>
    <w:p>
      <w:pPr>
        <w:spacing w:line="400" w:lineRule="exact"/>
        <w:ind w:firstLine="602" w:firstLineChars="200"/>
        <w:jc w:val="center"/>
        <w:rPr>
          <w:b/>
          <w:spacing w:val="10"/>
          <w:sz w:val="28"/>
          <w:szCs w:val="28"/>
        </w:rPr>
      </w:pPr>
      <w:r>
        <w:rPr>
          <w:rFonts w:hint="eastAsia"/>
          <w:b/>
          <w:spacing w:val="10"/>
          <w:sz w:val="28"/>
          <w:szCs w:val="28"/>
        </w:rPr>
        <w:t>询比价书</w:t>
      </w:r>
    </w:p>
    <w:p>
      <w:pPr>
        <w:spacing w:line="400" w:lineRule="exact"/>
        <w:rPr>
          <w:spacing w:val="10"/>
          <w:sz w:val="24"/>
        </w:rPr>
      </w:pPr>
    </w:p>
    <w:p>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pPr>
        <w:spacing w:line="400" w:lineRule="exact"/>
        <w:ind w:firstLine="520" w:firstLineChars="200"/>
        <w:rPr>
          <w:spacing w:val="10"/>
          <w:sz w:val="24"/>
        </w:rPr>
      </w:pPr>
      <w:r>
        <w:rPr>
          <w:rFonts w:hint="eastAsia"/>
          <w:spacing w:val="10"/>
          <w:sz w:val="24"/>
        </w:rPr>
        <w:t>根据贵方为</w:t>
      </w:r>
      <w:r>
        <w:rPr>
          <w:rFonts w:hint="eastAsia"/>
          <w:spacing w:val="10"/>
          <w:sz w:val="24"/>
          <w:u w:val="single"/>
        </w:rPr>
        <w:t xml:space="preserve">              </w:t>
      </w:r>
      <w:r>
        <w:rPr>
          <w:rFonts w:hint="eastAsia"/>
          <w:spacing w:val="10"/>
          <w:sz w:val="24"/>
        </w:rPr>
        <w:t>项目询比价采购项目及服务的询价单</w:t>
      </w:r>
    </w:p>
    <w:p>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pPr>
        <w:spacing w:line="400" w:lineRule="exact"/>
        <w:ind w:firstLine="520" w:firstLineChars="200"/>
        <w:rPr>
          <w:spacing w:val="10"/>
          <w:sz w:val="24"/>
        </w:rPr>
      </w:pPr>
      <w:r>
        <w:rPr>
          <w:rFonts w:hint="eastAsia"/>
          <w:spacing w:val="10"/>
          <w:sz w:val="24"/>
        </w:rPr>
        <w:t>据此函，签字代表宣布同意如下：</w:t>
      </w:r>
    </w:p>
    <w:p>
      <w:pPr>
        <w:spacing w:line="400" w:lineRule="exact"/>
        <w:ind w:firstLine="520" w:firstLineChars="200"/>
        <w:rPr>
          <w:spacing w:val="10"/>
          <w:sz w:val="24"/>
        </w:rPr>
      </w:pPr>
      <w:r>
        <w:rPr>
          <w:rFonts w:hint="eastAsia"/>
          <w:spacing w:val="10"/>
          <w:sz w:val="24"/>
        </w:rPr>
        <w:t>1.所附开标一览表中规定的应提供和交付的项目询比价总价为</w:t>
      </w:r>
    </w:p>
    <w:p>
      <w:pPr>
        <w:spacing w:line="400" w:lineRule="exact"/>
        <w:ind w:firstLine="520" w:firstLineChars="200"/>
        <w:rPr>
          <w:spacing w:val="10"/>
          <w:sz w:val="24"/>
        </w:rPr>
      </w:pPr>
      <w:r>
        <w:rPr>
          <w:rFonts w:hint="eastAsia"/>
          <w:spacing w:val="10"/>
          <w:sz w:val="24"/>
        </w:rPr>
        <w:t>（注明币种），即（大写）</w:t>
      </w:r>
    </w:p>
    <w:p>
      <w:pPr>
        <w:spacing w:line="400" w:lineRule="exact"/>
        <w:ind w:firstLine="520" w:firstLineChars="200"/>
        <w:rPr>
          <w:spacing w:val="10"/>
          <w:sz w:val="24"/>
        </w:rPr>
      </w:pPr>
      <w:r>
        <w:rPr>
          <w:rFonts w:hint="eastAsia"/>
          <w:spacing w:val="10"/>
          <w:sz w:val="24"/>
        </w:rPr>
        <w:t>2.询比价项目参与人将按投标文件的规定履行合同责任和义务。</w:t>
      </w:r>
    </w:p>
    <w:p>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pPr>
        <w:spacing w:line="400" w:lineRule="exact"/>
        <w:ind w:firstLine="520" w:firstLineChars="200"/>
        <w:rPr>
          <w:spacing w:val="10"/>
          <w:sz w:val="24"/>
        </w:rPr>
      </w:pPr>
      <w:r>
        <w:rPr>
          <w:rFonts w:hint="eastAsia"/>
          <w:spacing w:val="10"/>
          <w:sz w:val="24"/>
        </w:rPr>
        <w:t>4.其询比价自询比价日起有效期为个日历日。</w:t>
      </w:r>
    </w:p>
    <w:p>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pPr>
        <w:spacing w:line="400" w:lineRule="exact"/>
        <w:ind w:firstLine="520" w:firstLineChars="200"/>
        <w:rPr>
          <w:spacing w:val="10"/>
          <w:sz w:val="24"/>
        </w:rPr>
      </w:pPr>
      <w:r>
        <w:rPr>
          <w:rFonts w:hint="eastAsia"/>
          <w:spacing w:val="10"/>
          <w:sz w:val="24"/>
        </w:rPr>
        <w:t>与本询比价有关的一切正式往来通讯请寄：</w:t>
      </w:r>
    </w:p>
    <w:p>
      <w:pPr>
        <w:spacing w:line="400" w:lineRule="exact"/>
        <w:rPr>
          <w:spacing w:val="10"/>
          <w:sz w:val="24"/>
        </w:rPr>
      </w:pPr>
      <w:r>
        <w:rPr>
          <w:rFonts w:hint="eastAsia"/>
          <w:spacing w:val="10"/>
          <w:sz w:val="24"/>
        </w:rPr>
        <w:t>地址邮编</w:t>
      </w:r>
    </w:p>
    <w:p>
      <w:pPr>
        <w:spacing w:line="400" w:lineRule="exact"/>
        <w:rPr>
          <w:spacing w:val="10"/>
          <w:sz w:val="24"/>
          <w:u w:val="single"/>
        </w:rPr>
      </w:pPr>
      <w:r>
        <w:rPr>
          <w:rFonts w:hint="eastAsia"/>
          <w:spacing w:val="10"/>
          <w:sz w:val="24"/>
        </w:rPr>
        <w:t>电话传真</w:t>
      </w:r>
    </w:p>
    <w:p>
      <w:pPr>
        <w:spacing w:line="400" w:lineRule="exact"/>
        <w:rPr>
          <w:spacing w:val="10"/>
          <w:sz w:val="24"/>
          <w:u w:val="single"/>
        </w:rPr>
      </w:pPr>
    </w:p>
    <w:p>
      <w:pPr>
        <w:spacing w:line="400" w:lineRule="exact"/>
        <w:rPr>
          <w:spacing w:val="10"/>
          <w:sz w:val="24"/>
        </w:rPr>
      </w:pPr>
      <w:r>
        <w:rPr>
          <w:rFonts w:hint="eastAsia"/>
          <w:spacing w:val="10"/>
          <w:sz w:val="24"/>
        </w:rPr>
        <w:t>询比价项目参与人开户银行和账号：</w:t>
      </w:r>
    </w:p>
    <w:p>
      <w:pPr>
        <w:spacing w:line="400" w:lineRule="exact"/>
        <w:rPr>
          <w:spacing w:val="10"/>
          <w:sz w:val="24"/>
        </w:rPr>
      </w:pPr>
      <w:r>
        <w:rPr>
          <w:rFonts w:hint="eastAsia"/>
          <w:spacing w:val="10"/>
          <w:sz w:val="24"/>
        </w:rPr>
        <w:t>询比价项目参与人代表姓名、职务（印刷体）：</w:t>
      </w:r>
    </w:p>
    <w:p>
      <w:pPr>
        <w:spacing w:line="400" w:lineRule="exact"/>
        <w:rPr>
          <w:spacing w:val="10"/>
          <w:sz w:val="24"/>
          <w:u w:val="single"/>
        </w:rPr>
      </w:pPr>
      <w:r>
        <w:rPr>
          <w:rFonts w:hint="eastAsia"/>
          <w:spacing w:val="10"/>
          <w:sz w:val="24"/>
        </w:rPr>
        <w:t>询比价项目参与人名称：</w:t>
      </w:r>
      <w:bookmarkStart w:id="2" w:name="OLE_LINK3"/>
      <w:bookmarkEnd w:id="2"/>
      <w:bookmarkStart w:id="3" w:name="OLE_LINK4"/>
      <w:bookmarkEnd w:id="3"/>
    </w:p>
    <w:p>
      <w:pPr>
        <w:spacing w:line="400" w:lineRule="exact"/>
        <w:rPr>
          <w:spacing w:val="10"/>
          <w:sz w:val="24"/>
        </w:rPr>
      </w:pPr>
      <w:r>
        <w:rPr>
          <w:rFonts w:hint="eastAsia"/>
          <w:spacing w:val="10"/>
          <w:sz w:val="24"/>
        </w:rPr>
        <w:t>（公章）</w:t>
      </w:r>
    </w:p>
    <w:p>
      <w:pPr>
        <w:spacing w:line="400" w:lineRule="exact"/>
        <w:rPr>
          <w:spacing w:val="10"/>
          <w:sz w:val="24"/>
        </w:rPr>
      </w:pPr>
      <w:r>
        <w:rPr>
          <w:rFonts w:hint="eastAsia"/>
          <w:spacing w:val="10"/>
          <w:sz w:val="24"/>
        </w:rPr>
        <w:t>日期：年月日</w:t>
      </w:r>
    </w:p>
    <w:p>
      <w:pPr>
        <w:spacing w:line="400" w:lineRule="exact"/>
        <w:rPr>
          <w:spacing w:val="10"/>
          <w:sz w:val="24"/>
        </w:rPr>
      </w:pPr>
    </w:p>
    <w:p>
      <w:pPr>
        <w:spacing w:line="400" w:lineRule="exact"/>
        <w:rPr>
          <w:spacing w:val="10"/>
          <w:sz w:val="24"/>
        </w:rPr>
      </w:pPr>
      <w:r>
        <w:rPr>
          <w:rFonts w:hint="eastAsia"/>
          <w:spacing w:val="10"/>
          <w:sz w:val="24"/>
        </w:rPr>
        <w:t>授权代表签字：</w:t>
      </w:r>
    </w:p>
    <w:p>
      <w:pPr>
        <w:widowControl/>
        <w:jc w:val="left"/>
        <w:rPr>
          <w:spacing w:val="10"/>
          <w:sz w:val="24"/>
        </w:rPr>
      </w:pPr>
      <w:r>
        <w:rPr>
          <w:spacing w:val="10"/>
          <w:sz w:val="24"/>
        </w:rPr>
        <w:br w:type="page"/>
      </w:r>
    </w:p>
    <w:p>
      <w:pPr>
        <w:pStyle w:val="3"/>
      </w:pPr>
      <w:r>
        <w:rPr>
          <w:rFonts w:hint="eastAsia"/>
        </w:rPr>
        <w:t>附件2：</w:t>
      </w:r>
    </w:p>
    <w:p>
      <w:pPr>
        <w:spacing w:line="400" w:lineRule="exact"/>
        <w:ind w:firstLine="602" w:firstLineChars="200"/>
        <w:jc w:val="center"/>
        <w:rPr>
          <w:b/>
          <w:spacing w:val="10"/>
          <w:sz w:val="28"/>
          <w:szCs w:val="28"/>
        </w:rPr>
      </w:pPr>
      <w:r>
        <w:rPr>
          <w:rFonts w:hint="eastAsia"/>
          <w:b/>
          <w:spacing w:val="10"/>
          <w:sz w:val="28"/>
          <w:szCs w:val="28"/>
        </w:rPr>
        <w:t>开标一览表</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询比价项目参与人名称：</w:t>
      </w:r>
    </w:p>
    <w:p>
      <w:pPr>
        <w:spacing w:line="400" w:lineRule="exact"/>
        <w:rPr>
          <w:spacing w:val="10"/>
          <w:sz w:val="24"/>
          <w:u w:val="single"/>
        </w:rPr>
      </w:pPr>
      <w:r>
        <w:rPr>
          <w:rFonts w:hint="eastAsia"/>
          <w:spacing w:val="10"/>
          <w:sz w:val="24"/>
        </w:rPr>
        <w:t>询比价编号：</w:t>
      </w:r>
    </w:p>
    <w:p>
      <w:pPr>
        <w:spacing w:line="400" w:lineRule="exact"/>
        <w:rPr>
          <w:spacing w:val="10"/>
          <w:sz w:val="24"/>
          <w:u w:val="single"/>
        </w:rPr>
      </w:pPr>
    </w:p>
    <w:p>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pPr>
              <w:spacing w:line="400" w:lineRule="exact"/>
              <w:jc w:val="center"/>
              <w:rPr>
                <w:spacing w:val="10"/>
                <w:sz w:val="24"/>
              </w:rPr>
            </w:pPr>
            <w:r>
              <w:rPr>
                <w:rFonts w:hint="eastAsia"/>
                <w:spacing w:val="10"/>
                <w:sz w:val="24"/>
              </w:rPr>
              <w:t>项目名称</w:t>
            </w:r>
          </w:p>
        </w:tc>
        <w:tc>
          <w:tcPr>
            <w:tcW w:w="636" w:type="pct"/>
            <w:vMerge w:val="restart"/>
            <w:vAlign w:val="center"/>
          </w:tcPr>
          <w:p>
            <w:pPr>
              <w:spacing w:line="400" w:lineRule="exact"/>
              <w:jc w:val="center"/>
              <w:rPr>
                <w:spacing w:val="10"/>
                <w:sz w:val="24"/>
              </w:rPr>
            </w:pPr>
            <w:r>
              <w:rPr>
                <w:rFonts w:hint="eastAsia"/>
                <w:spacing w:val="10"/>
                <w:sz w:val="24"/>
              </w:rPr>
              <w:t>型号</w:t>
            </w:r>
          </w:p>
          <w:p>
            <w:pPr>
              <w:spacing w:line="400" w:lineRule="exact"/>
              <w:jc w:val="center"/>
              <w:rPr>
                <w:spacing w:val="10"/>
                <w:sz w:val="24"/>
              </w:rPr>
            </w:pPr>
            <w:r>
              <w:rPr>
                <w:rFonts w:hint="eastAsia"/>
                <w:spacing w:val="10"/>
                <w:sz w:val="24"/>
              </w:rPr>
              <w:t>规格</w:t>
            </w:r>
          </w:p>
        </w:tc>
        <w:tc>
          <w:tcPr>
            <w:tcW w:w="494" w:type="pct"/>
            <w:vMerge w:val="restart"/>
            <w:vAlign w:val="center"/>
          </w:tcPr>
          <w:p>
            <w:pPr>
              <w:spacing w:line="400" w:lineRule="exact"/>
              <w:jc w:val="center"/>
              <w:rPr>
                <w:spacing w:val="10"/>
                <w:sz w:val="24"/>
              </w:rPr>
            </w:pPr>
            <w:r>
              <w:rPr>
                <w:rFonts w:hint="eastAsia"/>
                <w:spacing w:val="10"/>
                <w:sz w:val="24"/>
              </w:rPr>
              <w:t>数量</w:t>
            </w:r>
          </w:p>
        </w:tc>
        <w:tc>
          <w:tcPr>
            <w:tcW w:w="1342" w:type="pct"/>
            <w:vAlign w:val="center"/>
          </w:tcPr>
          <w:p>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pPr>
              <w:spacing w:line="400" w:lineRule="exact"/>
              <w:jc w:val="center"/>
              <w:rPr>
                <w:spacing w:val="10"/>
                <w:sz w:val="24"/>
              </w:rPr>
            </w:pPr>
            <w:r>
              <w:rPr>
                <w:rFonts w:hint="eastAsia"/>
                <w:spacing w:val="10"/>
                <w:sz w:val="24"/>
              </w:rPr>
              <w:t>交货期</w:t>
            </w:r>
          </w:p>
        </w:tc>
        <w:tc>
          <w:tcPr>
            <w:tcW w:w="919" w:type="pct"/>
            <w:vMerge w:val="restart"/>
            <w:vAlign w:val="center"/>
          </w:tcPr>
          <w:p>
            <w:pPr>
              <w:spacing w:line="400" w:lineRule="exact"/>
              <w:jc w:val="center"/>
              <w:rPr>
                <w:spacing w:val="10"/>
                <w:sz w:val="24"/>
              </w:rPr>
            </w:pPr>
            <w:r>
              <w:rPr>
                <w:rFonts w:hint="eastAsia"/>
                <w:spacing w:val="10"/>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pPr>
              <w:spacing w:line="400" w:lineRule="exact"/>
              <w:jc w:val="center"/>
              <w:rPr>
                <w:spacing w:val="10"/>
                <w:sz w:val="24"/>
              </w:rPr>
            </w:pPr>
          </w:p>
        </w:tc>
        <w:tc>
          <w:tcPr>
            <w:tcW w:w="636" w:type="pct"/>
            <w:vMerge w:val="continue"/>
          </w:tcPr>
          <w:p>
            <w:pPr>
              <w:spacing w:line="400" w:lineRule="exact"/>
              <w:jc w:val="center"/>
              <w:rPr>
                <w:spacing w:val="10"/>
                <w:sz w:val="24"/>
              </w:rPr>
            </w:pPr>
          </w:p>
        </w:tc>
        <w:tc>
          <w:tcPr>
            <w:tcW w:w="494" w:type="pct"/>
            <w:vMerge w:val="continue"/>
            <w:vAlign w:val="center"/>
          </w:tcPr>
          <w:p>
            <w:pPr>
              <w:spacing w:line="400" w:lineRule="exact"/>
              <w:jc w:val="center"/>
              <w:rPr>
                <w:spacing w:val="10"/>
                <w:sz w:val="24"/>
              </w:rPr>
            </w:pPr>
          </w:p>
        </w:tc>
        <w:tc>
          <w:tcPr>
            <w:tcW w:w="1342" w:type="pct"/>
            <w:vAlign w:val="center"/>
          </w:tcPr>
          <w:p>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pPr>
              <w:spacing w:line="400" w:lineRule="exact"/>
              <w:jc w:val="center"/>
              <w:rPr>
                <w:spacing w:val="10"/>
                <w:sz w:val="24"/>
              </w:rPr>
            </w:pPr>
          </w:p>
        </w:tc>
        <w:tc>
          <w:tcPr>
            <w:tcW w:w="919" w:type="pct"/>
            <w:vMerge w:val="continue"/>
            <w:vAlign w:val="center"/>
          </w:tcPr>
          <w:p>
            <w:pPr>
              <w:spacing w:line="400" w:lineRule="exact"/>
              <w:jc w:val="center"/>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pPr>
              <w:spacing w:line="400" w:lineRule="exact"/>
              <w:jc w:val="center"/>
              <w:rPr>
                <w:spacing w:val="10"/>
                <w:sz w:val="24"/>
              </w:rPr>
            </w:pPr>
            <w:r>
              <w:rPr>
                <w:rFonts w:hint="eastAsia"/>
                <w:spacing w:val="10"/>
                <w:sz w:val="24"/>
              </w:rPr>
              <w:t>XXXX</w:t>
            </w:r>
          </w:p>
        </w:tc>
        <w:tc>
          <w:tcPr>
            <w:tcW w:w="636" w:type="pct"/>
            <w:vAlign w:val="center"/>
          </w:tcPr>
          <w:p>
            <w:pPr>
              <w:spacing w:line="400" w:lineRule="exact"/>
              <w:jc w:val="center"/>
              <w:rPr>
                <w:spacing w:val="10"/>
                <w:sz w:val="24"/>
              </w:rPr>
            </w:pPr>
            <w:r>
              <w:rPr>
                <w:rFonts w:hint="eastAsia"/>
                <w:spacing w:val="10"/>
                <w:sz w:val="24"/>
              </w:rPr>
              <w:t>1次</w:t>
            </w:r>
          </w:p>
        </w:tc>
        <w:tc>
          <w:tcPr>
            <w:tcW w:w="494" w:type="pct"/>
            <w:vAlign w:val="center"/>
          </w:tcPr>
          <w:p>
            <w:pPr>
              <w:spacing w:line="400" w:lineRule="exact"/>
              <w:jc w:val="center"/>
              <w:rPr>
                <w:spacing w:val="10"/>
                <w:sz w:val="24"/>
              </w:rPr>
            </w:pPr>
            <w:r>
              <w:rPr>
                <w:rFonts w:hint="eastAsia"/>
                <w:spacing w:val="10"/>
                <w:sz w:val="24"/>
              </w:rPr>
              <w:t>1</w:t>
            </w:r>
          </w:p>
        </w:tc>
        <w:tc>
          <w:tcPr>
            <w:tcW w:w="1342" w:type="pct"/>
            <w:vAlign w:val="center"/>
          </w:tcPr>
          <w:p>
            <w:pPr>
              <w:spacing w:line="400" w:lineRule="exact"/>
              <w:jc w:val="center"/>
              <w:rPr>
                <w:color w:val="FF0000"/>
                <w:spacing w:val="10"/>
                <w:sz w:val="24"/>
              </w:rPr>
            </w:pPr>
          </w:p>
        </w:tc>
        <w:tc>
          <w:tcPr>
            <w:tcW w:w="565" w:type="pct"/>
            <w:vAlign w:val="center"/>
          </w:tcPr>
          <w:p>
            <w:pPr>
              <w:spacing w:line="400" w:lineRule="exact"/>
              <w:jc w:val="center"/>
              <w:rPr>
                <w:spacing w:val="10"/>
                <w:sz w:val="24"/>
              </w:rPr>
            </w:pPr>
          </w:p>
        </w:tc>
        <w:tc>
          <w:tcPr>
            <w:tcW w:w="919" w:type="pct"/>
            <w:vAlign w:val="center"/>
          </w:tcPr>
          <w:p>
            <w:pPr>
              <w:spacing w:line="400" w:lineRule="exact"/>
              <w:jc w:val="center"/>
              <w:rPr>
                <w:spacing w:val="10"/>
                <w:sz w:val="24"/>
              </w:rPr>
            </w:pPr>
          </w:p>
        </w:tc>
      </w:tr>
    </w:tbl>
    <w:p>
      <w:pPr>
        <w:spacing w:line="400" w:lineRule="exact"/>
        <w:rPr>
          <w:b/>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附件3：</w:t>
      </w:r>
    </w:p>
    <w:p>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pPr>
              <w:snapToGrid w:val="0"/>
              <w:spacing w:line="300" w:lineRule="auto"/>
              <w:rPr>
                <w:rFonts w:eastAsia="仿宋_GB2312"/>
                <w:szCs w:val="21"/>
              </w:rPr>
            </w:pPr>
          </w:p>
        </w:tc>
        <w:tc>
          <w:tcPr>
            <w:tcW w:w="1194" w:type="pct"/>
            <w:gridSpan w:val="4"/>
            <w:vAlign w:val="center"/>
          </w:tcPr>
          <w:p>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pPr>
              <w:snapToGrid w:val="0"/>
              <w:spacing w:line="300" w:lineRule="auto"/>
              <w:rPr>
                <w:rFonts w:eastAsia="仿宋_GB2312"/>
                <w:i/>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pPr>
              <w:snapToGrid w:val="0"/>
              <w:spacing w:line="300" w:lineRule="auto"/>
              <w:rPr>
                <w:rFonts w:eastAsia="仿宋_GB2312"/>
                <w:szCs w:val="21"/>
              </w:rPr>
            </w:pPr>
          </w:p>
        </w:tc>
        <w:tc>
          <w:tcPr>
            <w:tcW w:w="725" w:type="pct"/>
            <w:gridSpan w:val="3"/>
            <w:tcBorders>
              <w:left w:val="single" w:color="auto" w:sz="4" w:space="0"/>
              <w:bottom w:val="nil"/>
            </w:tcBorders>
            <w:vAlign w:val="center"/>
          </w:tcPr>
          <w:p>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pPr>
              <w:pStyle w:val="10"/>
              <w:keepNext/>
              <w:snapToGrid w:val="0"/>
              <w:spacing w:before="0" w:after="0" w:line="300" w:lineRule="auto"/>
              <w:rPr>
                <w:rFonts w:ascii="Times New Roman" w:hAnsi="Times New Roman" w:eastAsia="仿宋_GB2312"/>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pPr>
              <w:snapToGrid w:val="0"/>
              <w:spacing w:line="300" w:lineRule="auto"/>
              <w:jc w:val="center"/>
              <w:rPr>
                <w:rFonts w:eastAsia="仿宋_GB2312"/>
                <w:b/>
                <w:szCs w:val="21"/>
              </w:rPr>
            </w:pPr>
            <w:r>
              <w:rPr>
                <w:rFonts w:eastAsia="仿宋_GB2312"/>
                <w:b/>
                <w:szCs w:val="21"/>
              </w:rPr>
              <w:t>主要研究</w:t>
            </w:r>
          </w:p>
          <w:p>
            <w:pPr>
              <w:snapToGrid w:val="0"/>
              <w:spacing w:line="300" w:lineRule="auto"/>
              <w:jc w:val="center"/>
              <w:rPr>
                <w:rFonts w:eastAsia="仿宋_GB2312"/>
                <w:b/>
                <w:szCs w:val="21"/>
              </w:rPr>
            </w:pPr>
            <w:r>
              <w:rPr>
                <w:rFonts w:eastAsia="仿宋_GB2312"/>
                <w:b/>
                <w:szCs w:val="21"/>
              </w:rPr>
              <w:t>内容</w:t>
            </w:r>
          </w:p>
        </w:tc>
        <w:tc>
          <w:tcPr>
            <w:tcW w:w="4345" w:type="pct"/>
            <w:gridSpan w:val="16"/>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eastAsia="仿宋_GB2312"/>
                <w:b/>
                <w:szCs w:val="21"/>
              </w:rPr>
              <w:t>项目关键</w:t>
            </w:r>
          </w:p>
          <w:p>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pPr>
              <w:snapToGrid w:val="0"/>
              <w:spacing w:line="300" w:lineRule="auto"/>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pPr>
              <w:snapToGrid w:val="0"/>
              <w:spacing w:line="300" w:lineRule="auto"/>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pPr>
              <w:snapToGrid w:val="0"/>
              <w:spacing w:line="300" w:lineRule="auto"/>
              <w:jc w:val="center"/>
              <w:rPr>
                <w:rFonts w:eastAsia="仿宋_GB2312"/>
                <w:b/>
                <w:szCs w:val="21"/>
              </w:rPr>
            </w:pPr>
            <w:r>
              <w:rPr>
                <w:rFonts w:eastAsia="仿宋_GB2312"/>
                <w:b/>
                <w:szCs w:val="21"/>
              </w:rPr>
              <w:t>预期成果</w:t>
            </w:r>
          </w:p>
        </w:tc>
        <w:tc>
          <w:tcPr>
            <w:tcW w:w="283" w:type="pct"/>
            <w:vAlign w:val="center"/>
          </w:tcPr>
          <w:p>
            <w:pPr>
              <w:snapToGrid w:val="0"/>
              <w:spacing w:line="300" w:lineRule="auto"/>
              <w:jc w:val="center"/>
              <w:rPr>
                <w:rFonts w:eastAsia="仿宋_GB2312"/>
                <w:b/>
                <w:szCs w:val="21"/>
              </w:rPr>
            </w:pPr>
            <w:r>
              <w:rPr>
                <w:rFonts w:eastAsia="仿宋_GB2312"/>
                <w:b/>
                <w:szCs w:val="21"/>
              </w:rPr>
              <w:t>报告</w:t>
            </w:r>
          </w:p>
        </w:tc>
        <w:tc>
          <w:tcPr>
            <w:tcW w:w="433" w:type="pct"/>
            <w:vAlign w:val="center"/>
          </w:tcPr>
          <w:p>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pPr>
              <w:snapToGrid w:val="0"/>
              <w:spacing w:line="300" w:lineRule="auto"/>
              <w:rPr>
                <w:rFonts w:eastAsia="仿宋_GB2312"/>
                <w:b/>
                <w:szCs w:val="21"/>
              </w:rPr>
            </w:pPr>
            <w:r>
              <w:rPr>
                <w:rFonts w:eastAsia="仿宋_GB2312"/>
                <w:b/>
                <w:szCs w:val="21"/>
              </w:rPr>
              <w:t>专利</w:t>
            </w:r>
          </w:p>
        </w:tc>
        <w:tc>
          <w:tcPr>
            <w:tcW w:w="304" w:type="pct"/>
            <w:vAlign w:val="center"/>
          </w:tcPr>
          <w:p>
            <w:pPr>
              <w:snapToGrid w:val="0"/>
              <w:spacing w:line="300" w:lineRule="auto"/>
              <w:jc w:val="center"/>
              <w:rPr>
                <w:rFonts w:eastAsia="仿宋_GB2312"/>
                <w:b/>
                <w:szCs w:val="21"/>
              </w:rPr>
            </w:pPr>
            <w:r>
              <w:rPr>
                <w:rFonts w:eastAsia="仿宋_GB2312"/>
                <w:b/>
                <w:szCs w:val="21"/>
              </w:rPr>
              <w:t>软</w:t>
            </w:r>
          </w:p>
          <w:p>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pPr>
              <w:snapToGrid w:val="0"/>
              <w:spacing w:line="300" w:lineRule="auto"/>
              <w:jc w:val="center"/>
              <w:rPr>
                <w:rFonts w:eastAsia="仿宋_GB2312"/>
                <w:b/>
                <w:szCs w:val="21"/>
              </w:rPr>
            </w:pPr>
            <w:r>
              <w:rPr>
                <w:rFonts w:eastAsia="仿宋_GB2312"/>
                <w:b/>
                <w:szCs w:val="21"/>
              </w:rPr>
              <w:t>工艺</w:t>
            </w:r>
          </w:p>
          <w:p>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pPr>
              <w:snapToGrid w:val="0"/>
              <w:spacing w:line="300" w:lineRule="auto"/>
              <w:jc w:val="center"/>
              <w:rPr>
                <w:rFonts w:eastAsia="仿宋_GB2312"/>
                <w:b/>
                <w:szCs w:val="21"/>
              </w:rPr>
            </w:pPr>
            <w:r>
              <w:rPr>
                <w:rFonts w:eastAsia="仿宋_GB2312"/>
                <w:b/>
                <w:szCs w:val="21"/>
              </w:rPr>
              <w:t>样机</w:t>
            </w:r>
          </w:p>
        </w:tc>
        <w:tc>
          <w:tcPr>
            <w:tcW w:w="250" w:type="pct"/>
            <w:vAlign w:val="center"/>
          </w:tcPr>
          <w:p>
            <w:pPr>
              <w:snapToGrid w:val="0"/>
              <w:spacing w:line="300" w:lineRule="auto"/>
              <w:jc w:val="center"/>
              <w:rPr>
                <w:rFonts w:eastAsia="仿宋_GB2312"/>
                <w:b/>
                <w:szCs w:val="21"/>
              </w:rPr>
            </w:pPr>
            <w:r>
              <w:rPr>
                <w:rFonts w:eastAsia="仿宋_GB2312"/>
                <w:b/>
                <w:szCs w:val="21"/>
              </w:rPr>
              <w:t>材料样品</w:t>
            </w:r>
          </w:p>
        </w:tc>
        <w:tc>
          <w:tcPr>
            <w:tcW w:w="580" w:type="pct"/>
            <w:vAlign w:val="center"/>
          </w:tcPr>
          <w:p>
            <w:pPr>
              <w:snapToGrid w:val="0"/>
              <w:spacing w:line="300" w:lineRule="auto"/>
              <w:jc w:val="center"/>
              <w:rPr>
                <w:rFonts w:eastAsia="仿宋_GB2312"/>
                <w:b/>
                <w:szCs w:val="21"/>
              </w:rPr>
            </w:pPr>
            <w:r>
              <w:rPr>
                <w:rFonts w:eastAsia="仿宋_GB2312"/>
                <w:b/>
                <w:szCs w:val="21"/>
              </w:rPr>
              <w:t>试验件</w:t>
            </w:r>
          </w:p>
          <w:p>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pPr>
              <w:snapToGrid w:val="0"/>
              <w:spacing w:line="300" w:lineRule="auto"/>
              <w:jc w:val="center"/>
              <w:rPr>
                <w:rFonts w:eastAsia="仿宋_GB2312"/>
                <w:b/>
                <w:szCs w:val="21"/>
              </w:rPr>
            </w:pPr>
            <w:r>
              <w:rPr>
                <w:rFonts w:eastAsia="仿宋_GB2312"/>
                <w:b/>
                <w:szCs w:val="21"/>
              </w:rPr>
              <w:t>装（设）置（备）</w:t>
            </w:r>
          </w:p>
        </w:tc>
        <w:tc>
          <w:tcPr>
            <w:tcW w:w="433" w:type="pct"/>
            <w:vAlign w:val="center"/>
          </w:tcPr>
          <w:p>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pPr>
              <w:snapToGrid w:val="0"/>
              <w:spacing w:line="300" w:lineRule="auto"/>
              <w:jc w:val="center"/>
              <w:rPr>
                <w:rFonts w:eastAsia="仿宋_GB2312"/>
                <w:b/>
                <w:szCs w:val="21"/>
              </w:rPr>
            </w:pPr>
            <w:r>
              <w:rPr>
                <w:rFonts w:eastAsia="仿宋_GB2312"/>
                <w:b/>
                <w:szCs w:val="21"/>
              </w:rPr>
              <w:t>数据库</w:t>
            </w:r>
          </w:p>
        </w:tc>
        <w:tc>
          <w:tcPr>
            <w:tcW w:w="288" w:type="pct"/>
            <w:vAlign w:val="center"/>
          </w:tcPr>
          <w:p>
            <w:pPr>
              <w:snapToGrid w:val="0"/>
              <w:spacing w:line="300" w:lineRule="auto"/>
              <w:jc w:val="center"/>
              <w:rPr>
                <w:rFonts w:eastAsia="仿宋_GB2312"/>
                <w:szCs w:val="21"/>
              </w:rPr>
            </w:pPr>
            <w:r>
              <w:rPr>
                <w:rFonts w:eastAsia="仿宋_GB2312"/>
                <w:b/>
                <w:szCs w:val="21"/>
              </w:rPr>
              <w:t>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pPr>
              <w:snapToGrid w:val="0"/>
              <w:spacing w:line="300" w:lineRule="auto"/>
              <w:jc w:val="center"/>
              <w:rPr>
                <w:rFonts w:eastAsia="仿宋_GB2312"/>
                <w:b/>
                <w:szCs w:val="21"/>
              </w:rPr>
            </w:pPr>
            <w:r>
              <w:rPr>
                <w:rFonts w:eastAsia="仿宋_GB2312"/>
                <w:b/>
                <w:szCs w:val="21"/>
              </w:rPr>
              <w:t>数量</w:t>
            </w:r>
          </w:p>
        </w:tc>
        <w:tc>
          <w:tcPr>
            <w:tcW w:w="283" w:type="pct"/>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51" w:type="pct"/>
            <w:gridSpan w:val="2"/>
          </w:tcPr>
          <w:p>
            <w:pPr>
              <w:snapToGrid w:val="0"/>
              <w:spacing w:line="300" w:lineRule="auto"/>
              <w:rPr>
                <w:rFonts w:eastAsia="仿宋_GB2312"/>
                <w:szCs w:val="21"/>
              </w:rPr>
            </w:pPr>
          </w:p>
        </w:tc>
        <w:tc>
          <w:tcPr>
            <w:tcW w:w="304" w:type="pct"/>
          </w:tcPr>
          <w:p>
            <w:pPr>
              <w:snapToGrid w:val="0"/>
              <w:spacing w:line="300" w:lineRule="auto"/>
              <w:rPr>
                <w:rFonts w:eastAsia="仿宋_GB2312"/>
                <w:szCs w:val="21"/>
              </w:rPr>
            </w:pPr>
          </w:p>
        </w:tc>
        <w:tc>
          <w:tcPr>
            <w:tcW w:w="492" w:type="pct"/>
            <w:gridSpan w:val="2"/>
          </w:tcPr>
          <w:p>
            <w:pPr>
              <w:snapToGrid w:val="0"/>
              <w:spacing w:line="300" w:lineRule="auto"/>
              <w:rPr>
                <w:rFonts w:eastAsia="仿宋_GB2312"/>
                <w:szCs w:val="21"/>
              </w:rPr>
            </w:pPr>
          </w:p>
        </w:tc>
        <w:tc>
          <w:tcPr>
            <w:tcW w:w="250" w:type="pct"/>
            <w:gridSpan w:val="2"/>
          </w:tcPr>
          <w:p>
            <w:pPr>
              <w:snapToGrid w:val="0"/>
              <w:spacing w:line="300" w:lineRule="auto"/>
              <w:rPr>
                <w:rFonts w:eastAsia="仿宋_GB2312"/>
                <w:szCs w:val="21"/>
              </w:rPr>
            </w:pPr>
          </w:p>
        </w:tc>
        <w:tc>
          <w:tcPr>
            <w:tcW w:w="250" w:type="pct"/>
          </w:tcPr>
          <w:p>
            <w:pPr>
              <w:snapToGrid w:val="0"/>
              <w:spacing w:line="300" w:lineRule="auto"/>
              <w:rPr>
                <w:rFonts w:eastAsia="仿宋_GB2312"/>
                <w:szCs w:val="21"/>
              </w:rPr>
            </w:pPr>
          </w:p>
        </w:tc>
        <w:tc>
          <w:tcPr>
            <w:tcW w:w="580" w:type="pct"/>
          </w:tcPr>
          <w:p>
            <w:pPr>
              <w:snapToGrid w:val="0"/>
              <w:spacing w:line="300" w:lineRule="auto"/>
              <w:rPr>
                <w:rFonts w:eastAsia="仿宋_GB2312"/>
                <w:szCs w:val="21"/>
              </w:rPr>
            </w:pPr>
          </w:p>
        </w:tc>
        <w:tc>
          <w:tcPr>
            <w:tcW w:w="497" w:type="pct"/>
            <w:gridSpan w:val="2"/>
          </w:tcPr>
          <w:p>
            <w:pPr>
              <w:snapToGrid w:val="0"/>
              <w:spacing w:line="300" w:lineRule="auto"/>
              <w:rPr>
                <w:rFonts w:eastAsia="仿宋_GB2312"/>
                <w:szCs w:val="21"/>
              </w:rPr>
            </w:pPr>
          </w:p>
        </w:tc>
        <w:tc>
          <w:tcPr>
            <w:tcW w:w="433" w:type="pct"/>
          </w:tcPr>
          <w:p>
            <w:pPr>
              <w:snapToGrid w:val="0"/>
              <w:spacing w:line="300" w:lineRule="auto"/>
              <w:rPr>
                <w:rFonts w:eastAsia="仿宋_GB2312"/>
                <w:szCs w:val="21"/>
              </w:rPr>
            </w:pPr>
          </w:p>
        </w:tc>
        <w:tc>
          <w:tcPr>
            <w:tcW w:w="284" w:type="pct"/>
          </w:tcPr>
          <w:p>
            <w:pPr>
              <w:snapToGrid w:val="0"/>
              <w:spacing w:line="300" w:lineRule="auto"/>
              <w:rPr>
                <w:rFonts w:eastAsia="仿宋_GB2312"/>
                <w:szCs w:val="21"/>
              </w:rPr>
            </w:pPr>
          </w:p>
        </w:tc>
        <w:tc>
          <w:tcPr>
            <w:tcW w:w="288" w:type="pct"/>
          </w:tcPr>
          <w:p>
            <w:pPr>
              <w:snapToGrid w:val="0"/>
              <w:spacing w:line="300" w:lineRule="auto"/>
              <w:rPr>
                <w:rFonts w:eastAsia="仿宋_GB2312"/>
                <w:szCs w:val="21"/>
              </w:rPr>
            </w:pPr>
          </w:p>
        </w:tc>
      </w:tr>
    </w:tbl>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364"/>
        <w:gridCol w:w="1177"/>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u w:val="single"/>
              </w:rPr>
              <w:t xml:space="preserve">                           </w:t>
            </w:r>
            <w:r>
              <w:rPr>
                <w:rFonts w:asciiTheme="minorEastAsia" w:hAnsiTheme="minorEastAsia" w:eastAsiaTheme="minorEastAsia"/>
                <w:b/>
                <w:bCs/>
                <w:kern w:val="0"/>
                <w:szCs w:val="21"/>
              </w:rPr>
              <w:t>报价表</w:t>
            </w:r>
          </w:p>
          <w:p>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
                <w:bCs/>
                <w:kern w:val="0"/>
                <w:sz w:val="18"/>
                <w:szCs w:val="18"/>
              </w:rPr>
              <w:t xml:space="preserve"> </w:t>
            </w:r>
            <w:r>
              <w:rPr>
                <w:rFonts w:hint="eastAsia" w:asciiTheme="minorEastAsia" w:hAnsiTheme="minorEastAsia" w:eastAsiaTheme="minorEastAsia"/>
                <w:bCs/>
                <w:kern w:val="0"/>
                <w:sz w:val="18"/>
                <w:szCs w:val="18"/>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pPr>
        <w:spacing w:line="480" w:lineRule="exact"/>
        <w:rPr>
          <w:rFonts w:ascii="宋体" w:hAnsi="宋体"/>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附件5：</w:t>
      </w:r>
    </w:p>
    <w:p>
      <w:pPr>
        <w:spacing w:line="560" w:lineRule="exact"/>
        <w:rPr>
          <w:rFonts w:ascii="黑体" w:hAnsi="黑体" w:eastAsia="黑体"/>
          <w:sz w:val="32"/>
          <w:szCs w:val="32"/>
        </w:rPr>
      </w:pPr>
      <w:r>
        <w:rPr>
          <w:rFonts w:hint="eastAsia" w:ascii="黑体" w:hAnsi="黑体" w:eastAsia="黑体"/>
          <w:sz w:val="32"/>
          <w:szCs w:val="32"/>
        </w:rPr>
        <w:t>密级：公开</w:t>
      </w:r>
    </w:p>
    <w:p>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r>
        <w:rPr>
          <w:rFonts w:hint="eastAsia" w:ascii="仿宋" w:hAnsi="仿宋" w:eastAsia="仿宋"/>
          <w:b/>
          <w:sz w:val="32"/>
          <w:szCs w:val="32"/>
          <w:u w:val="single"/>
        </w:rPr>
        <w:t xml:space="preserve">                            </w:t>
      </w:r>
    </w:p>
    <w:p>
      <w:pPr>
        <w:ind w:left="1050" w:leftChars="500"/>
        <w:rPr>
          <w:rFonts w:ascii="仿宋" w:hAnsi="仿宋" w:eastAsia="仿宋"/>
          <w:b/>
          <w:sz w:val="32"/>
          <w:szCs w:val="32"/>
        </w:rPr>
      </w:pPr>
      <w:r>
        <w:rPr>
          <w:rFonts w:hint="eastAsia" w:ascii="仿宋" w:hAnsi="仿宋" w:eastAsia="仿宋"/>
          <w:b/>
          <w:sz w:val="32"/>
          <w:szCs w:val="32"/>
        </w:rPr>
        <w:t>有 效 期：</w:t>
      </w:r>
      <w:r>
        <w:rPr>
          <w:rFonts w:hint="eastAsia" w:ascii="仿宋" w:hAnsi="仿宋" w:eastAsia="仿宋"/>
          <w:b/>
          <w:sz w:val="32"/>
          <w:szCs w:val="32"/>
          <w:u w:val="single"/>
        </w:rPr>
        <w:t xml:space="preserve">                            </w:t>
      </w:r>
    </w:p>
    <w:p>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pPr>
        <w:pStyle w:val="2"/>
        <w:spacing w:before="156" w:beforeLines="50" w:after="156" w:afterLines="50" w:line="600" w:lineRule="exact"/>
        <w:rPr>
          <w:rFonts w:ascii="仿宋" w:hAnsi="仿宋" w:eastAsia="仿宋"/>
          <w:bCs/>
          <w:sz w:val="24"/>
          <w:szCs w:val="24"/>
        </w:rPr>
      </w:pPr>
      <w:bookmarkStart w:id="4" w:name="_Toc256515911"/>
      <w:bookmarkStart w:id="5" w:name="_Toc425432702"/>
      <w:bookmarkStart w:id="6" w:name="_Toc272369562"/>
      <w:bookmarkStart w:id="7" w:name="_Toc395538883"/>
      <w:bookmarkStart w:id="8" w:name="_Toc288827256"/>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pPr>
        <w:spacing w:line="300" w:lineRule="auto"/>
        <w:ind w:firstLine="480" w:firstLineChars="200"/>
        <w:rPr>
          <w:rFonts w:ascii="仿宋" w:hAnsi="仿宋" w:eastAsia="仿宋" w:cs="Arial"/>
          <w:sz w:val="24"/>
        </w:rPr>
      </w:pPr>
      <w:bookmarkStart w:id="10" w:name="_Toc256515914"/>
      <w:bookmarkStart w:id="11" w:name="_Toc425432706"/>
      <w:bookmarkStart w:id="12" w:name="_Toc272369566"/>
      <w:bookmarkStart w:id="13" w:name="_Toc288827260"/>
      <w:bookmarkStart w:id="14" w:name="_Toc395538887"/>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pPr>
        <w:pStyle w:val="2"/>
        <w:spacing w:before="156" w:beforeLines="50" w:after="156" w:afterLines="50" w:line="600" w:lineRule="exact"/>
        <w:rPr>
          <w:rFonts w:ascii="仿宋" w:hAnsi="仿宋" w:eastAsia="仿宋"/>
          <w:sz w:val="24"/>
          <w:szCs w:val="24"/>
        </w:rPr>
      </w:pPr>
      <w:bookmarkStart w:id="15" w:name="_Toc395538889"/>
      <w:bookmarkStart w:id="16" w:name="_Toc425432708"/>
      <w:r>
        <w:rPr>
          <w:rFonts w:hint="eastAsia" w:ascii="仿宋" w:hAnsi="仿宋" w:eastAsia="仿宋"/>
          <w:sz w:val="24"/>
          <w:szCs w:val="24"/>
        </w:rPr>
        <w:t>3.1 材料费</w:t>
      </w:r>
    </w:p>
    <w:p>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r>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18"/>
                <w:szCs w:val="18"/>
              </w:rPr>
            </w:pP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p>
        </w:tc>
      </w:tr>
      <w:tr>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 xml:space="preserve">表6 超额累退比例表一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pPr>
        <w:rPr>
          <w:rFonts w:ascii="仿宋" w:hAnsi="仿宋" w:eastAsia="仿宋"/>
        </w:rPr>
      </w:pPr>
      <w:r>
        <w:rPr>
          <w:rFonts w:hint="eastAsia" w:ascii="仿宋" w:hAnsi="仿宋" w:eastAsia="仿宋"/>
        </w:rPr>
        <w:t>注：资产类别填写房屋类/设备类。</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 xml:space="preserve"> </w:t>
      </w:r>
      <w:r>
        <w:rPr>
          <w:rFonts w:hint="eastAsia" w:ascii="仿宋" w:hAnsi="仿宋" w:eastAsia="仿宋"/>
          <w:sz w:val="24"/>
          <w:szCs w:val="24"/>
        </w:rPr>
        <w:t>工资及劳务费</w:t>
      </w:r>
    </w:p>
    <w:p>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rPr>
          <w:rFonts w:ascii="仿宋" w:hAnsi="仿宋" w:eastAsia="仿宋"/>
        </w:rPr>
      </w:pPr>
      <w:r>
        <w:rPr>
          <w:rFonts w:hint="eastAsia" w:ascii="仿宋" w:hAnsi="仿宋" w:eastAsia="仿宋"/>
        </w:rPr>
        <w:t>注：N为报价当年</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w:t>
      </w:r>
      <w:r>
        <w:rPr>
          <w:rFonts w:ascii="仿宋" w:hAnsi="仿宋" w:eastAsia="仿宋"/>
          <w:sz w:val="24"/>
          <w:szCs w:val="24"/>
        </w:rPr>
        <w:t xml:space="preserve"> </w:t>
      </w:r>
      <w:r>
        <w:rPr>
          <w:rFonts w:hint="eastAsia" w:ascii="仿宋" w:hAnsi="仿宋" w:eastAsia="仿宋"/>
          <w:sz w:val="24"/>
          <w:szCs w:val="24"/>
        </w:rPr>
        <w:t>预计收益</w:t>
      </w:r>
    </w:p>
    <w:p>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r>
              <w:rPr>
                <w:b/>
                <w:bCs/>
                <w:color w:val="000000"/>
                <w:kern w:val="0"/>
                <w:sz w:val="18"/>
                <w:szCs w:val="18"/>
              </w:rPr>
              <w:t xml:space="preserve"> </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　</w:t>
            </w:r>
          </w:p>
        </w:tc>
      </w:tr>
    </w:tbl>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p/>
    <w:p>
      <w:pPr>
        <w:spacing w:line="400" w:lineRule="exact"/>
        <w:rPr>
          <w:spacing w:val="10"/>
          <w:sz w:val="24"/>
        </w:rPr>
      </w:pPr>
    </w:p>
    <w:p>
      <w:pPr>
        <w:widowControl/>
        <w:jc w:val="left"/>
        <w:rPr>
          <w:spacing w:val="10"/>
          <w:sz w:val="24"/>
        </w:rPr>
      </w:pPr>
      <w:r>
        <w:rPr>
          <w:spacing w:val="10"/>
          <w:sz w:val="24"/>
        </w:rPr>
        <w:br w:type="page"/>
      </w:r>
    </w:p>
    <w:p>
      <w:pPr>
        <w:pStyle w:val="3"/>
      </w:pPr>
      <w:r>
        <w:rPr>
          <w:rFonts w:hint="eastAsia"/>
        </w:rPr>
        <w:t>附件6：</w:t>
      </w:r>
    </w:p>
    <w:p>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pPr>
        <w:spacing w:line="400" w:lineRule="exact"/>
        <w:rPr>
          <w:spacing w:val="10"/>
          <w:sz w:val="24"/>
        </w:rPr>
      </w:pPr>
    </w:p>
    <w:p>
      <w:pPr>
        <w:spacing w:line="400" w:lineRule="exact"/>
        <w:rPr>
          <w:spacing w:val="10"/>
          <w:sz w:val="24"/>
          <w:u w:val="single"/>
        </w:rPr>
      </w:pPr>
      <w:r>
        <w:rPr>
          <w:rFonts w:hint="eastAsia"/>
          <w:spacing w:val="10"/>
          <w:sz w:val="24"/>
        </w:rPr>
        <w:t xml:space="preserve">询比价项目参与人名称：                    </w:t>
      </w:r>
      <w:r>
        <w:rPr>
          <w:rFonts w:hint="eastAsia" w:ascii="宋体" w:hAnsi="宋体"/>
          <w:sz w:val="24"/>
        </w:rPr>
        <w:t>询比价编号：</w:t>
      </w:r>
    </w:p>
    <w:p>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spacing w:line="400" w:lineRule="exact"/>
              <w:jc w:val="center"/>
              <w:rPr>
                <w:spacing w:val="10"/>
                <w:sz w:val="24"/>
              </w:rPr>
            </w:pPr>
            <w:r>
              <w:rPr>
                <w:rFonts w:hint="eastAsia"/>
                <w:spacing w:val="10"/>
                <w:sz w:val="24"/>
              </w:rPr>
              <w:t>序号</w:t>
            </w:r>
          </w:p>
        </w:tc>
        <w:tc>
          <w:tcPr>
            <w:tcW w:w="840" w:type="pct"/>
            <w:vAlign w:val="center"/>
          </w:tcPr>
          <w:p>
            <w:pPr>
              <w:spacing w:line="400" w:lineRule="exact"/>
              <w:jc w:val="center"/>
              <w:rPr>
                <w:spacing w:val="10"/>
                <w:sz w:val="24"/>
              </w:rPr>
            </w:pPr>
            <w:r>
              <w:rPr>
                <w:rFonts w:hint="eastAsia"/>
                <w:spacing w:val="10"/>
                <w:sz w:val="24"/>
              </w:rPr>
              <w:t>项目名称</w:t>
            </w:r>
          </w:p>
        </w:tc>
        <w:tc>
          <w:tcPr>
            <w:tcW w:w="1772" w:type="pct"/>
            <w:vAlign w:val="center"/>
          </w:tcPr>
          <w:p>
            <w:pPr>
              <w:spacing w:line="400" w:lineRule="exact"/>
              <w:jc w:val="center"/>
              <w:rPr>
                <w:spacing w:val="10"/>
                <w:sz w:val="24"/>
              </w:rPr>
            </w:pPr>
            <w:r>
              <w:rPr>
                <w:rFonts w:hint="eastAsia"/>
                <w:spacing w:val="10"/>
                <w:sz w:val="24"/>
              </w:rPr>
              <w:t>型号规格及主要技术参数</w:t>
            </w:r>
          </w:p>
        </w:tc>
        <w:tc>
          <w:tcPr>
            <w:tcW w:w="560" w:type="pct"/>
            <w:vAlign w:val="center"/>
          </w:tcPr>
          <w:p>
            <w:pPr>
              <w:spacing w:line="400" w:lineRule="exact"/>
              <w:jc w:val="center"/>
              <w:rPr>
                <w:spacing w:val="10"/>
                <w:sz w:val="24"/>
              </w:rPr>
            </w:pPr>
            <w:r>
              <w:rPr>
                <w:rFonts w:hint="eastAsia"/>
                <w:spacing w:val="10"/>
                <w:sz w:val="24"/>
              </w:rPr>
              <w:t>数量</w:t>
            </w:r>
          </w:p>
        </w:tc>
        <w:tc>
          <w:tcPr>
            <w:tcW w:w="933" w:type="pct"/>
            <w:vAlign w:val="center"/>
          </w:tcPr>
          <w:p>
            <w:pPr>
              <w:spacing w:line="400" w:lineRule="exact"/>
              <w:jc w:val="center"/>
              <w:rPr>
                <w:spacing w:val="10"/>
                <w:sz w:val="24"/>
              </w:rPr>
            </w:pPr>
            <w:r>
              <w:rPr>
                <w:rFonts w:hint="eastAsia"/>
                <w:spacing w:val="10"/>
                <w:sz w:val="24"/>
              </w:rPr>
              <w:t>性能说明</w:t>
            </w:r>
          </w:p>
        </w:tc>
        <w:tc>
          <w:tcPr>
            <w:tcW w:w="466" w:type="pct"/>
            <w:vAlign w:val="center"/>
          </w:tcPr>
          <w:p>
            <w:pPr>
              <w:spacing w:line="400" w:lineRule="exact"/>
              <w:jc w:val="center"/>
              <w:rPr>
                <w:spacing w:val="10"/>
                <w:sz w:val="24"/>
              </w:rPr>
            </w:pPr>
            <w:r>
              <w:rPr>
                <w:rFonts w:hint="eastAsia"/>
                <w:spacing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pPr>
              <w:keepNext/>
              <w:tabs>
                <w:tab w:val="left" w:pos="480"/>
              </w:tabs>
              <w:spacing w:line="400" w:lineRule="exact"/>
              <w:ind w:left="425"/>
              <w:outlineLvl w:val="0"/>
              <w:rPr>
                <w:spacing w:val="10"/>
                <w:sz w:val="24"/>
              </w:rPr>
            </w:pPr>
          </w:p>
        </w:tc>
        <w:tc>
          <w:tcPr>
            <w:tcW w:w="840" w:type="pct"/>
          </w:tcPr>
          <w:p>
            <w:pPr>
              <w:keepNext/>
              <w:tabs>
                <w:tab w:val="left" w:pos="480"/>
              </w:tabs>
              <w:spacing w:line="400" w:lineRule="exact"/>
              <w:ind w:left="425"/>
              <w:outlineLvl w:val="0"/>
              <w:rPr>
                <w:spacing w:val="10"/>
                <w:sz w:val="24"/>
              </w:rPr>
            </w:pPr>
          </w:p>
        </w:tc>
        <w:tc>
          <w:tcPr>
            <w:tcW w:w="1772" w:type="pct"/>
          </w:tcPr>
          <w:p>
            <w:pPr>
              <w:keepNext/>
              <w:tabs>
                <w:tab w:val="left" w:pos="480"/>
              </w:tabs>
              <w:spacing w:line="400" w:lineRule="exact"/>
              <w:ind w:left="425"/>
              <w:outlineLvl w:val="0"/>
              <w:rPr>
                <w:spacing w:val="10"/>
                <w:sz w:val="24"/>
              </w:rPr>
            </w:pPr>
          </w:p>
        </w:tc>
        <w:tc>
          <w:tcPr>
            <w:tcW w:w="560" w:type="pct"/>
          </w:tcPr>
          <w:p>
            <w:pPr>
              <w:keepNext/>
              <w:tabs>
                <w:tab w:val="left" w:pos="480"/>
              </w:tabs>
              <w:spacing w:line="400" w:lineRule="exact"/>
              <w:ind w:left="425"/>
              <w:outlineLvl w:val="0"/>
              <w:rPr>
                <w:spacing w:val="10"/>
                <w:sz w:val="24"/>
              </w:rPr>
            </w:pPr>
          </w:p>
        </w:tc>
        <w:tc>
          <w:tcPr>
            <w:tcW w:w="933" w:type="pct"/>
          </w:tcPr>
          <w:p>
            <w:pPr>
              <w:keepNext/>
              <w:tabs>
                <w:tab w:val="left" w:pos="480"/>
              </w:tabs>
              <w:spacing w:line="400" w:lineRule="exact"/>
              <w:ind w:left="425"/>
              <w:outlineLvl w:val="0"/>
              <w:rPr>
                <w:spacing w:val="10"/>
                <w:sz w:val="24"/>
              </w:rPr>
            </w:pPr>
          </w:p>
        </w:tc>
        <w:tc>
          <w:tcPr>
            <w:tcW w:w="466" w:type="pct"/>
          </w:tcPr>
          <w:p>
            <w:pPr>
              <w:keepNext/>
              <w:tabs>
                <w:tab w:val="left" w:pos="480"/>
              </w:tabs>
              <w:spacing w:line="400" w:lineRule="exact"/>
              <w:ind w:left="425"/>
              <w:outlineLvl w:val="0"/>
              <w:rPr>
                <w:spacing w:val="10"/>
                <w:sz w:val="24"/>
              </w:rPr>
            </w:pPr>
          </w:p>
        </w:tc>
      </w:tr>
    </w:tbl>
    <w:p>
      <w:pPr>
        <w:spacing w:line="400" w:lineRule="exact"/>
        <w:rPr>
          <w:spacing w:val="10"/>
          <w:sz w:val="24"/>
        </w:rPr>
      </w:pP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附件7：</w:t>
      </w:r>
    </w:p>
    <w:p>
      <w:pPr>
        <w:spacing w:line="400" w:lineRule="exact"/>
        <w:ind w:firstLine="602" w:firstLineChars="200"/>
        <w:jc w:val="center"/>
        <w:rPr>
          <w:b/>
          <w:spacing w:val="10"/>
          <w:sz w:val="28"/>
          <w:szCs w:val="28"/>
        </w:rPr>
      </w:pPr>
      <w:r>
        <w:rPr>
          <w:rFonts w:hint="eastAsia"/>
          <w:b/>
          <w:spacing w:val="10"/>
          <w:sz w:val="28"/>
          <w:szCs w:val="28"/>
        </w:rPr>
        <w:t>商务条款偏离表</w:t>
      </w:r>
    </w:p>
    <w:p>
      <w:pPr>
        <w:spacing w:line="360" w:lineRule="atLeast"/>
        <w:rPr>
          <w:sz w:val="24"/>
        </w:rPr>
      </w:pPr>
    </w:p>
    <w:p>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pPr>
              <w:spacing w:before="120" w:line="360" w:lineRule="atLeast"/>
              <w:jc w:val="center"/>
              <w:rPr>
                <w:sz w:val="24"/>
              </w:rPr>
            </w:pPr>
            <w:r>
              <w:rPr>
                <w:rFonts w:hint="eastAsia"/>
                <w:sz w:val="24"/>
              </w:rPr>
              <w:t>序号</w:t>
            </w:r>
          </w:p>
        </w:tc>
        <w:tc>
          <w:tcPr>
            <w:tcW w:w="2137" w:type="pct"/>
            <w:vAlign w:val="center"/>
          </w:tcPr>
          <w:p>
            <w:pPr>
              <w:spacing w:before="120" w:line="360" w:lineRule="atLeast"/>
              <w:jc w:val="center"/>
              <w:rPr>
                <w:sz w:val="24"/>
              </w:rPr>
            </w:pPr>
            <w:r>
              <w:rPr>
                <w:rFonts w:hint="eastAsia"/>
                <w:sz w:val="24"/>
              </w:rPr>
              <w:t>询比价文件商务条款</w:t>
            </w:r>
          </w:p>
        </w:tc>
        <w:tc>
          <w:tcPr>
            <w:tcW w:w="1478" w:type="pct"/>
            <w:vAlign w:val="center"/>
          </w:tcPr>
          <w:p>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pPr>
              <w:spacing w:before="120" w:line="360" w:lineRule="atLeast"/>
              <w:jc w:val="center"/>
              <w:rPr>
                <w:sz w:val="24"/>
              </w:rPr>
            </w:pPr>
            <w:r>
              <w:rPr>
                <w:rFonts w:hint="eastAsia"/>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pPr>
              <w:spacing w:line="360" w:lineRule="atLeast"/>
              <w:jc w:val="center"/>
              <w:rPr>
                <w:sz w:val="24"/>
              </w:rPr>
            </w:pPr>
            <w:r>
              <w:rPr>
                <w:sz w:val="24"/>
              </w:rPr>
              <w:t>1</w:t>
            </w:r>
          </w:p>
        </w:tc>
        <w:tc>
          <w:tcPr>
            <w:tcW w:w="2137" w:type="pct"/>
            <w:vAlign w:val="center"/>
          </w:tcPr>
          <w:p>
            <w:pPr>
              <w:tabs>
                <w:tab w:val="left" w:pos="1080"/>
              </w:tab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pPr>
              <w:spacing w:line="360" w:lineRule="atLeast"/>
              <w:jc w:val="center"/>
              <w:rPr>
                <w:sz w:val="24"/>
              </w:rPr>
            </w:pPr>
            <w:r>
              <w:rPr>
                <w:sz w:val="24"/>
              </w:rPr>
              <w:t>2</w:t>
            </w:r>
          </w:p>
        </w:tc>
        <w:tc>
          <w:tcPr>
            <w:tcW w:w="2137" w:type="pct"/>
            <w:vAlign w:val="center"/>
          </w:tcPr>
          <w:p>
            <w:pPr>
              <w:tabs>
                <w:tab w:val="left" w:pos="1080"/>
                <w:tab w:val="left" w:pos="8280"/>
              </w:tabs>
              <w:suppressAutoHyphens/>
              <w:spacing w:line="360" w:lineRule="auto"/>
              <w:rPr>
                <w:rFonts w:ascii="Arial" w:hAnsi="宋体" w:cs="Arial"/>
                <w:sz w:val="22"/>
              </w:rPr>
            </w:pPr>
          </w:p>
        </w:tc>
        <w:tc>
          <w:tcPr>
            <w:tcW w:w="1478" w:type="pct"/>
            <w:vAlign w:val="center"/>
          </w:tcPr>
          <w:p>
            <w:pPr>
              <w:tabs>
                <w:tab w:val="left" w:pos="851"/>
              </w:tabs>
              <w:spacing w:line="360" w:lineRule="atLeast"/>
              <w:jc w:val="center"/>
              <w:outlineLvl w:val="2"/>
              <w:rPr>
                <w:sz w:val="24"/>
              </w:rPr>
            </w:pPr>
          </w:p>
        </w:tc>
        <w:tc>
          <w:tcPr>
            <w:tcW w:w="1108" w:type="pct"/>
            <w:tcBorders>
              <w:right w:val="single" w:color="auto" w:sz="4" w:space="0"/>
            </w:tcBorders>
            <w:vAlign w:val="center"/>
          </w:tcPr>
          <w:p>
            <w:pPr>
              <w:tabs>
                <w:tab w:val="left" w:pos="851"/>
              </w:tabs>
              <w:spacing w:line="360" w:lineRule="atLeast"/>
              <w:jc w:val="center"/>
              <w:outlineLvl w:val="2"/>
              <w:rPr>
                <w:sz w:val="24"/>
              </w:rPr>
            </w:pPr>
          </w:p>
        </w:tc>
      </w:tr>
    </w:tbl>
    <w:p>
      <w:pPr>
        <w:spacing w:line="360" w:lineRule="atLeast"/>
        <w:rPr>
          <w:sz w:val="24"/>
        </w:rPr>
      </w:pPr>
      <w:r>
        <w:rPr>
          <w:rFonts w:hint="eastAsia"/>
          <w:sz w:val="24"/>
        </w:rPr>
        <w:t>　</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 xml:space="preserve">附件8                </w:t>
      </w:r>
    </w:p>
    <w:p>
      <w:pPr>
        <w:spacing w:line="400" w:lineRule="exact"/>
        <w:ind w:firstLine="602" w:firstLineChars="200"/>
        <w:jc w:val="center"/>
        <w:rPr>
          <w:b/>
          <w:spacing w:val="10"/>
          <w:sz w:val="28"/>
          <w:szCs w:val="28"/>
        </w:rPr>
      </w:pPr>
      <w:r>
        <w:rPr>
          <w:rFonts w:hint="eastAsia"/>
          <w:b/>
          <w:spacing w:val="10"/>
          <w:sz w:val="28"/>
          <w:szCs w:val="28"/>
        </w:rPr>
        <w:t>技术规格响应/偏离表</w:t>
      </w:r>
    </w:p>
    <w:p>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pPr>
              <w:spacing w:line="280" w:lineRule="exact"/>
              <w:rPr>
                <w:szCs w:val="21"/>
              </w:rPr>
            </w:pPr>
          </w:p>
        </w:tc>
        <w:tc>
          <w:tcPr>
            <w:tcW w:w="833" w:type="dxa"/>
            <w:vAlign w:val="center"/>
          </w:tcPr>
          <w:p>
            <w:pPr>
              <w:spacing w:line="280" w:lineRule="exact"/>
              <w:jc w:val="center"/>
              <w:rPr>
                <w:szCs w:val="21"/>
              </w:rPr>
            </w:pPr>
            <w:r>
              <w:rPr>
                <w:rFonts w:hint="eastAsia"/>
                <w:szCs w:val="21"/>
              </w:rPr>
              <w:t>序号</w:t>
            </w:r>
          </w:p>
        </w:tc>
        <w:tc>
          <w:tcPr>
            <w:tcW w:w="3531" w:type="dxa"/>
            <w:vAlign w:val="center"/>
          </w:tcPr>
          <w:p>
            <w:pPr>
              <w:spacing w:line="280" w:lineRule="exact"/>
              <w:jc w:val="center"/>
              <w:rPr>
                <w:szCs w:val="21"/>
              </w:rPr>
            </w:pPr>
            <w:r>
              <w:rPr>
                <w:rFonts w:hint="eastAsia"/>
                <w:szCs w:val="21"/>
              </w:rPr>
              <w:t>询比价文件要求</w:t>
            </w:r>
          </w:p>
        </w:tc>
        <w:tc>
          <w:tcPr>
            <w:tcW w:w="2835" w:type="dxa"/>
            <w:vAlign w:val="center"/>
          </w:tcPr>
          <w:p>
            <w:pPr>
              <w:spacing w:line="280" w:lineRule="exact"/>
              <w:jc w:val="center"/>
              <w:rPr>
                <w:szCs w:val="21"/>
              </w:rPr>
            </w:pPr>
            <w:r>
              <w:rPr>
                <w:rFonts w:hint="eastAsia"/>
                <w:szCs w:val="21"/>
              </w:rPr>
              <w:t>技术规格</w:t>
            </w:r>
          </w:p>
        </w:tc>
        <w:tc>
          <w:tcPr>
            <w:tcW w:w="1415" w:type="dxa"/>
            <w:vAlign w:val="center"/>
          </w:tcPr>
          <w:p>
            <w:pPr>
              <w:spacing w:line="280" w:lineRule="exact"/>
              <w:jc w:val="center"/>
              <w:rPr>
                <w:szCs w:val="21"/>
              </w:rPr>
            </w:pPr>
            <w:r>
              <w:rPr>
                <w:rFonts w:hint="eastAsia"/>
                <w:szCs w:val="21"/>
              </w:rPr>
              <w:t>响应/偏离</w:t>
            </w:r>
          </w:p>
        </w:tc>
        <w:tc>
          <w:tcPr>
            <w:tcW w:w="719" w:type="dxa"/>
            <w:vAlign w:val="center"/>
          </w:tcPr>
          <w:p>
            <w:pPr>
              <w:spacing w:line="280" w:lineRule="exact"/>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keepNext/>
              <w:spacing w:line="280" w:lineRule="exact"/>
              <w:outlineLvl w:val="0"/>
              <w:rPr>
                <w:szCs w:val="21"/>
              </w:rPr>
            </w:pPr>
          </w:p>
        </w:tc>
        <w:tc>
          <w:tcPr>
            <w:tcW w:w="833" w:type="dxa"/>
            <w:vAlign w:val="center"/>
          </w:tcPr>
          <w:p>
            <w:pPr>
              <w:keepNext/>
              <w:tabs>
                <w:tab w:val="left" w:pos="480"/>
              </w:tabs>
              <w:snapToGrid w:val="0"/>
              <w:spacing w:line="440" w:lineRule="exact"/>
              <w:ind w:left="425"/>
              <w:jc w:val="center"/>
              <w:outlineLvl w:val="0"/>
              <w:rPr>
                <w:rFonts w:ascii="宋体" w:hAnsi="宋体" w:cs="Arial"/>
                <w:b/>
                <w:bCs/>
                <w:szCs w:val="21"/>
              </w:rPr>
            </w:pPr>
          </w:p>
        </w:tc>
        <w:tc>
          <w:tcPr>
            <w:tcW w:w="3531" w:type="dxa"/>
          </w:tcPr>
          <w:p>
            <w:pPr>
              <w:keepNext/>
              <w:tabs>
                <w:tab w:val="left" w:pos="480"/>
              </w:tabs>
              <w:snapToGrid w:val="0"/>
              <w:spacing w:line="400" w:lineRule="exact"/>
              <w:ind w:left="425"/>
              <w:outlineLvl w:val="0"/>
              <w:rPr>
                <w:rFonts w:ascii="宋体" w:hAnsi="宋体" w:cs="Arial"/>
                <w:b/>
                <w:bCs/>
                <w:szCs w:val="21"/>
              </w:rPr>
            </w:pPr>
          </w:p>
        </w:tc>
        <w:tc>
          <w:tcPr>
            <w:tcW w:w="2835" w:type="dxa"/>
            <w:vAlign w:val="center"/>
          </w:tcPr>
          <w:p>
            <w:pPr>
              <w:keepNext/>
              <w:tabs>
                <w:tab w:val="left" w:pos="480"/>
              </w:tabs>
              <w:spacing w:line="280" w:lineRule="exact"/>
              <w:ind w:left="425"/>
              <w:jc w:val="center"/>
              <w:outlineLvl w:val="0"/>
              <w:rPr>
                <w:szCs w:val="21"/>
              </w:rPr>
            </w:pPr>
          </w:p>
        </w:tc>
        <w:tc>
          <w:tcPr>
            <w:tcW w:w="1415" w:type="dxa"/>
            <w:vAlign w:val="center"/>
          </w:tcPr>
          <w:p>
            <w:pPr>
              <w:keepNext/>
              <w:tabs>
                <w:tab w:val="left" w:pos="480"/>
              </w:tabs>
              <w:spacing w:line="280" w:lineRule="exact"/>
              <w:ind w:left="425"/>
              <w:jc w:val="center"/>
              <w:outlineLvl w:val="0"/>
              <w:rPr>
                <w:szCs w:val="21"/>
              </w:rPr>
            </w:pPr>
          </w:p>
        </w:tc>
        <w:tc>
          <w:tcPr>
            <w:tcW w:w="719" w:type="dxa"/>
            <w:vAlign w:val="center"/>
          </w:tcPr>
          <w:p>
            <w:pPr>
              <w:keepNext/>
              <w:tabs>
                <w:tab w:val="left" w:pos="480"/>
              </w:tabs>
              <w:spacing w:line="280" w:lineRule="exact"/>
              <w:ind w:left="425"/>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szCs w:val="21"/>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pPr>
              <w:spacing w:line="280" w:lineRule="exact"/>
              <w:rPr>
                <w:rFonts w:ascii="宋体" w:hAnsi="宋体"/>
                <w:sz w:val="24"/>
              </w:rPr>
            </w:pPr>
            <w:r>
              <w:rPr>
                <w:rFonts w:ascii="宋体" w:hAnsi="宋体"/>
                <w:sz w:val="24"/>
              </w:rPr>
              <w:t>…</w:t>
            </w:r>
          </w:p>
        </w:tc>
        <w:tc>
          <w:tcPr>
            <w:tcW w:w="833" w:type="dxa"/>
            <w:vAlign w:val="center"/>
          </w:tcPr>
          <w:p>
            <w:pPr>
              <w:tabs>
                <w:tab w:val="left" w:pos="851"/>
              </w:tabs>
              <w:snapToGrid w:val="0"/>
              <w:spacing w:line="440" w:lineRule="exact"/>
              <w:jc w:val="center"/>
              <w:outlineLvl w:val="2"/>
              <w:rPr>
                <w:rFonts w:ascii="宋体" w:hAnsi="宋体" w:cs="Arial"/>
                <w:b/>
                <w:bCs/>
                <w:szCs w:val="21"/>
              </w:rPr>
            </w:pPr>
          </w:p>
        </w:tc>
        <w:tc>
          <w:tcPr>
            <w:tcW w:w="3531" w:type="dxa"/>
          </w:tcPr>
          <w:p>
            <w:pPr>
              <w:tabs>
                <w:tab w:val="left" w:pos="851"/>
              </w:tabs>
              <w:snapToGrid w:val="0"/>
              <w:spacing w:line="400" w:lineRule="exact"/>
              <w:outlineLvl w:val="2"/>
              <w:rPr>
                <w:rFonts w:ascii="宋体" w:hAnsi="宋体" w:cs="Arial"/>
                <w:b/>
                <w:bCs/>
                <w:szCs w:val="21"/>
              </w:rPr>
            </w:pPr>
          </w:p>
        </w:tc>
        <w:tc>
          <w:tcPr>
            <w:tcW w:w="2835" w:type="dxa"/>
            <w:vAlign w:val="center"/>
          </w:tcPr>
          <w:p>
            <w:pPr>
              <w:tabs>
                <w:tab w:val="left" w:pos="851"/>
              </w:tabs>
              <w:spacing w:line="280" w:lineRule="exact"/>
              <w:jc w:val="center"/>
              <w:outlineLvl w:val="2"/>
              <w:rPr>
                <w:szCs w:val="21"/>
              </w:rPr>
            </w:pPr>
          </w:p>
        </w:tc>
        <w:tc>
          <w:tcPr>
            <w:tcW w:w="1415" w:type="dxa"/>
            <w:vAlign w:val="center"/>
          </w:tcPr>
          <w:p>
            <w:pPr>
              <w:tabs>
                <w:tab w:val="left" w:pos="851"/>
              </w:tabs>
              <w:spacing w:line="280" w:lineRule="exact"/>
              <w:jc w:val="center"/>
              <w:outlineLvl w:val="2"/>
              <w:rPr>
                <w:szCs w:val="21"/>
              </w:rPr>
            </w:pPr>
          </w:p>
        </w:tc>
        <w:tc>
          <w:tcPr>
            <w:tcW w:w="719" w:type="dxa"/>
            <w:vAlign w:val="center"/>
          </w:tcPr>
          <w:p>
            <w:pPr>
              <w:tabs>
                <w:tab w:val="left" w:pos="851"/>
              </w:tabs>
              <w:spacing w:line="280" w:lineRule="exact"/>
              <w:jc w:val="center"/>
              <w:outlineLvl w:val="2"/>
              <w:rPr>
                <w:szCs w:val="21"/>
              </w:rPr>
            </w:pPr>
          </w:p>
        </w:tc>
      </w:tr>
    </w:tbl>
    <w:p>
      <w:pPr>
        <w:spacing w:line="280" w:lineRule="exact"/>
        <w:rPr>
          <w:b/>
          <w:sz w:val="28"/>
        </w:rPr>
      </w:pPr>
    </w:p>
    <w:p>
      <w:pPr>
        <w:numPr>
          <w:ilvl w:val="0"/>
          <w:numId w:val="11"/>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pPr>
        <w:numPr>
          <w:ilvl w:val="0"/>
          <w:numId w:val="11"/>
        </w:numPr>
        <w:spacing w:line="360" w:lineRule="auto"/>
        <w:ind w:hanging="357"/>
      </w:pPr>
      <w:r>
        <w:rPr>
          <w:rFonts w:hint="eastAsia"/>
        </w:rPr>
        <w:t>询比价项目参与人依据产品说明书、详细技术方案、样本等在“技术规格”栏如实逐项逐条回应。</w:t>
      </w:r>
    </w:p>
    <w:p>
      <w:pPr>
        <w:numPr>
          <w:ilvl w:val="0"/>
          <w:numId w:val="11"/>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pPr>
        <w:numPr>
          <w:ilvl w:val="0"/>
          <w:numId w:val="11"/>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pPr>
        <w:numPr>
          <w:ilvl w:val="0"/>
          <w:numId w:val="11"/>
        </w:numPr>
        <w:spacing w:line="360" w:lineRule="auto"/>
        <w:ind w:hanging="357"/>
      </w:pPr>
      <w:r>
        <w:rPr>
          <w:rFonts w:hint="eastAsia"/>
        </w:rPr>
        <w:t>如果询比价小组在投标文件其它地方发现实质性偏离，不论投标人在本表中如何响应，均可认为是偏离招标文件的规定</w:t>
      </w:r>
      <w:r>
        <w:t>。</w:t>
      </w:r>
    </w:p>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pPr>
        <w:pStyle w:val="3"/>
      </w:pPr>
      <w:r>
        <w:rPr>
          <w:rFonts w:hint="eastAsia"/>
        </w:rPr>
        <w:t>附件9：</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pPr>
        <w:rPr>
          <w:rFonts w:asciiTheme="minorEastAsia" w:hAnsiTheme="minorEastAsia" w:eastAsiaTheme="minorEastAsia" w:cstheme="minorEastAsia"/>
          <w:sz w:val="24"/>
          <w:szCs w:val="2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rPr>
      </w:pPr>
    </w:p>
    <w:p>
      <w:pPr>
        <w:snapToGrid w:val="0"/>
        <w:spacing w:line="480" w:lineRule="auto"/>
        <w:ind w:firstLine="1012" w:firstLineChars="315"/>
        <w:rPr>
          <w:rFonts w:eastAsia="楷体_GB2312"/>
          <w:b/>
          <w:sz w:val="32"/>
          <w:szCs w:val="32"/>
          <w:u w:val="single"/>
        </w:rPr>
      </w:pPr>
    </w:p>
    <w:p>
      <w:pPr>
        <w:snapToGrid w:val="0"/>
        <w:spacing w:line="360" w:lineRule="auto"/>
        <w:ind w:firstLine="800" w:firstLineChars="250"/>
        <w:rPr>
          <w:rFonts w:eastAsia="黑体"/>
          <w:sz w:val="32"/>
          <w:szCs w:val="32"/>
        </w:rPr>
      </w:pPr>
      <w:r>
        <w:rPr>
          <w:rFonts w:eastAsia="黑体"/>
          <w:sz w:val="32"/>
          <w:szCs w:val="32"/>
        </w:rPr>
        <w:t>项目名称：</w:t>
      </w:r>
      <w:r>
        <w:rPr>
          <w:rFonts w:hint="eastAsia" w:eastAsia="黑体"/>
          <w:sz w:val="32"/>
          <w:szCs w:val="32"/>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项目编号：</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起止时间：</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 xml:space="preserve">        （盖章）    </w:t>
      </w:r>
    </w:p>
    <w:p>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 xml:space="preserve">      （签字）    </w:t>
      </w:r>
    </w:p>
    <w:p>
      <w:pPr>
        <w:snapToGrid w:val="0"/>
        <w:spacing w:line="360" w:lineRule="auto"/>
        <w:ind w:firstLine="800" w:firstLineChars="250"/>
        <w:rPr>
          <w:rFonts w:eastAsia="黑体"/>
          <w:sz w:val="32"/>
          <w:szCs w:val="32"/>
        </w:rPr>
      </w:pPr>
      <w:r>
        <w:rPr>
          <w:rFonts w:eastAsia="黑体"/>
          <w:sz w:val="32"/>
          <w:szCs w:val="32"/>
        </w:rPr>
        <w:t>项目联系人：</w:t>
      </w:r>
      <w:r>
        <w:rPr>
          <w:rFonts w:hint="eastAsia" w:eastAsia="黑体"/>
          <w:sz w:val="32"/>
          <w:szCs w:val="32"/>
          <w:u w:val="single"/>
        </w:rPr>
        <w:t xml:space="preserve">                  </w:t>
      </w:r>
      <w:r>
        <w:rPr>
          <w:rFonts w:eastAsia="楷体_GB2312"/>
          <w:b/>
          <w:sz w:val="32"/>
          <w:szCs w:val="32"/>
          <w:u w:val="single" w:color="FFFFFF" w:themeColor="background1"/>
        </w:rPr>
        <w:t xml:space="preserve"> </w:t>
      </w:r>
    </w:p>
    <w:p>
      <w:pPr>
        <w:snapToGrid w:val="0"/>
        <w:spacing w:line="360" w:lineRule="auto"/>
        <w:ind w:firstLine="800" w:firstLineChars="250"/>
        <w:rPr>
          <w:rFonts w:eastAsia="黑体"/>
          <w:sz w:val="32"/>
          <w:szCs w:val="32"/>
        </w:rPr>
      </w:pPr>
      <w:r>
        <w:rPr>
          <w:rFonts w:eastAsia="黑体"/>
          <w:sz w:val="32"/>
          <w:szCs w:val="32"/>
        </w:rPr>
        <w:t>联系人电话：</w:t>
      </w:r>
      <w:r>
        <w:rPr>
          <w:rFonts w:eastAsia="楷体_GB2312"/>
          <w:b/>
          <w:sz w:val="32"/>
          <w:szCs w:val="32"/>
          <w:u w:val="single" w:color="FFFFFF" w:themeColor="background1"/>
        </w:rPr>
        <w:t xml:space="preserve"> </w:t>
      </w:r>
      <w:r>
        <w:rPr>
          <w:rFonts w:hint="eastAsia" w:eastAsia="黑体"/>
          <w:sz w:val="32"/>
          <w:szCs w:val="32"/>
          <w:u w:val="single"/>
        </w:rPr>
        <w:t xml:space="preserve">                 </w:t>
      </w:r>
    </w:p>
    <w:p>
      <w:pPr>
        <w:snapToGrid w:val="0"/>
        <w:spacing w:line="360" w:lineRule="auto"/>
        <w:ind w:firstLine="800" w:firstLineChars="250"/>
        <w:rPr>
          <w:rFonts w:eastAsia="黑体"/>
          <w:sz w:val="32"/>
          <w:szCs w:val="32"/>
        </w:rPr>
      </w:pPr>
      <w:r>
        <w:rPr>
          <w:rFonts w:eastAsia="黑体"/>
          <w:sz w:val="32"/>
          <w:szCs w:val="32"/>
        </w:rPr>
        <w:t>填报日期：</w:t>
      </w:r>
      <w:r>
        <w:rPr>
          <w:rFonts w:eastAsia="黑体"/>
          <w:sz w:val="32"/>
          <w:szCs w:val="32"/>
          <w:u w:val="single"/>
        </w:rPr>
        <w:t xml:space="preserve"> </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pPr>
        <w:jc w:val="center"/>
      </w:pPr>
    </w:p>
    <w:p>
      <w:pPr>
        <w:jc w:val="center"/>
        <w:rPr>
          <w:rFonts w:eastAsia="楷体_GB2312"/>
          <w:b/>
          <w:sz w:val="36"/>
          <w:szCs w:val="36"/>
        </w:rPr>
      </w:pPr>
    </w:p>
    <w:p>
      <w:pPr>
        <w:rPr>
          <w:rFonts w:eastAsia="楷体_GB2312"/>
          <w:b/>
          <w:sz w:val="36"/>
          <w:szCs w:val="36"/>
        </w:rPr>
      </w:pPr>
    </w:p>
    <w:p>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pPr>
        <w:jc w:val="center"/>
        <w:rPr>
          <w:rFonts w:eastAsia="黑体"/>
          <w:sz w:val="32"/>
          <w:szCs w:val="32"/>
        </w:rPr>
      </w:pPr>
      <w:r>
        <w:rPr>
          <w:rFonts w:eastAsia="黑体"/>
          <w:sz w:val="32"/>
          <w:szCs w:val="32"/>
        </w:rPr>
        <w:t>填  写  说  明</w:t>
      </w:r>
    </w:p>
    <w:p>
      <w:pPr>
        <w:snapToGrid w:val="0"/>
        <w:spacing w:line="360" w:lineRule="auto"/>
        <w:ind w:right="571"/>
        <w:rPr>
          <w:b/>
          <w:sz w:val="24"/>
        </w:rPr>
      </w:pPr>
    </w:p>
    <w:p>
      <w:pPr>
        <w:snapToGrid w:val="0"/>
        <w:spacing w:line="360" w:lineRule="auto"/>
        <w:rPr>
          <w:rFonts w:eastAsia="仿宋_GB2312"/>
          <w:b/>
          <w:sz w:val="30"/>
          <w:szCs w:val="30"/>
        </w:rPr>
      </w:pPr>
      <w:r>
        <w:rPr>
          <w:rFonts w:eastAsia="仿宋_GB2312"/>
          <w:b/>
          <w:sz w:val="30"/>
          <w:szCs w:val="30"/>
        </w:rPr>
        <w:t>一、填写要求</w:t>
      </w:r>
    </w:p>
    <w:p>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pPr>
        <w:snapToGrid w:val="0"/>
        <w:spacing w:line="360" w:lineRule="auto"/>
        <w:rPr>
          <w:rFonts w:eastAsia="仿宋_GB2312"/>
          <w:b/>
          <w:sz w:val="30"/>
          <w:szCs w:val="30"/>
        </w:rPr>
      </w:pPr>
      <w:r>
        <w:rPr>
          <w:rFonts w:eastAsia="仿宋_GB2312"/>
          <w:b/>
          <w:sz w:val="30"/>
          <w:szCs w:val="30"/>
        </w:rPr>
        <w:t>二、格式要求</w:t>
      </w:r>
    </w:p>
    <w:p>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snapToGrid w:val="0"/>
        <w:spacing w:line="360" w:lineRule="auto"/>
        <w:jc w:val="center"/>
        <w:rPr>
          <w:rFonts w:eastAsia="黑体"/>
          <w:sz w:val="28"/>
          <w:szCs w:val="28"/>
        </w:rPr>
      </w:pPr>
      <w:r>
        <w:rPr>
          <w:rFonts w:eastAsia="黑体"/>
          <w:sz w:val="28"/>
          <w:szCs w:val="28"/>
        </w:rPr>
        <w:t>目  录</w:t>
      </w: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pPr>
        <w:pStyle w:val="9"/>
        <w:adjustRightInd w:val="0"/>
        <w:snapToGrid w:val="0"/>
        <w:spacing w:line="300" w:lineRule="auto"/>
        <w:ind w:firstLineChars="0"/>
        <w:rPr>
          <w:rFonts w:ascii="仿宋" w:hAnsi="仿宋" w:eastAsia="仿宋"/>
          <w:sz w:val="24"/>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pPr>
        <w:spacing w:before="156" w:beforeLines="50" w:after="156" w:afterLines="50"/>
        <w:jc w:val="center"/>
        <w:outlineLvl w:val="0"/>
        <w:rPr>
          <w:rFonts w:eastAsia="黑体"/>
          <w:sz w:val="24"/>
        </w:rPr>
      </w:pPr>
      <w:bookmarkStart w:id="20" w:name="_Toc513033384"/>
      <w:bookmarkStart w:id="21" w:name="_Toc514238612"/>
      <w:bookmarkStart w:id="22" w:name="_Toc513454606"/>
      <w:bookmarkStart w:id="23" w:name="_Toc513455546"/>
      <w:bookmarkStart w:id="24" w:name="_Toc513130108"/>
      <w:bookmarkStart w:id="25" w:name="_Toc513128901"/>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b/>
                <w:kern w:val="0"/>
                <w:sz w:val="24"/>
              </w:rPr>
            </w:pPr>
            <w:r>
              <w:rPr>
                <w:rFonts w:hint="eastAsia"/>
                <w:b/>
                <w:kern w:val="0"/>
                <w:sz w:val="24"/>
              </w:rPr>
              <w:t>完成形式</w:t>
            </w:r>
          </w:p>
        </w:tc>
      </w:tr>
      <w:tr>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pPr>
              <w:snapToGrid w:val="0"/>
              <w:rPr>
                <w:i/>
                <w:kern w:val="0"/>
                <w:sz w:val="24"/>
              </w:rPr>
            </w:pPr>
            <w:r>
              <w:rPr>
                <w:rFonts w:hint="eastAsia"/>
                <w:i/>
                <w:kern w:val="0"/>
                <w:sz w:val="24"/>
              </w:rPr>
              <w:t>成果</w:t>
            </w:r>
            <w:r>
              <w:rPr>
                <w:i/>
                <w:kern w:val="0"/>
                <w:sz w:val="24"/>
              </w:rPr>
              <w:t>形式</w:t>
            </w: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r>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pPr>
              <w:snapToGrid w:val="0"/>
              <w:rPr>
                <w:kern w:val="0"/>
                <w:sz w:val="24"/>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58"/>
              <w:snapToGrid w:val="0"/>
              <w:jc w:val="center"/>
              <w:rPr>
                <w:rFonts w:cs="Times New Roman"/>
                <w:color w:val="000000" w:themeColor="text1"/>
                <w14:textFill>
                  <w14:solidFill>
                    <w14:schemeClr w14:val="tx1"/>
                  </w14:solidFill>
                </w14:textFill>
              </w:rPr>
            </w:pPr>
          </w:p>
        </w:tc>
      </w:tr>
    </w:tbl>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pPr>
        <w:snapToGrid w:val="0"/>
        <w:spacing w:line="300" w:lineRule="auto"/>
        <w:ind w:right="207" w:firstLine="480" w:firstLineChars="200"/>
        <w:rPr>
          <w:i/>
          <w:sz w:val="24"/>
        </w:rPr>
      </w:pPr>
      <w:r>
        <w:rPr>
          <w:i/>
          <w:sz w:val="24"/>
        </w:rPr>
        <w:t>（最终可考核的软硬件成果名称、形式、数量）</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说明成果转化途径及推广应用方案</w:t>
      </w:r>
    </w:p>
    <w:p>
      <w:pPr>
        <w:autoSpaceDE w:val="0"/>
        <w:autoSpaceDN w:val="0"/>
        <w:adjustRightInd w:val="0"/>
        <w:spacing w:line="400" w:lineRule="exact"/>
        <w:rPr>
          <w:rFonts w:ascii="宋体"/>
          <w:b/>
          <w:kern w:val="0"/>
          <w:sz w:val="32"/>
        </w:rPr>
      </w:pPr>
    </w:p>
    <w:p>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pPr>
        <w:pStyle w:val="9"/>
        <w:spacing w:line="300" w:lineRule="auto"/>
        <w:ind w:firstLine="480"/>
        <w:rPr>
          <w:i/>
          <w:sz w:val="24"/>
          <w:szCs w:val="24"/>
        </w:rPr>
      </w:pPr>
      <w:r>
        <w:rPr>
          <w:rFonts w:hint="eastAsia"/>
          <w:i/>
          <w:sz w:val="24"/>
          <w:szCs w:val="24"/>
        </w:rPr>
        <w:t>研究基础和试验条件</w:t>
      </w:r>
    </w:p>
    <w:p>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pPr>
        <w:pStyle w:val="9"/>
        <w:spacing w:line="300" w:lineRule="auto"/>
        <w:ind w:firstLine="480"/>
        <w:rPr>
          <w:rFonts w:asciiTheme="minorEastAsia" w:hAnsiTheme="minorEastAsia"/>
          <w:i/>
          <w:sz w:val="24"/>
          <w:szCs w:val="24"/>
        </w:rPr>
      </w:pPr>
      <w:bookmarkStart w:id="26" w:name="_Toc513454613"/>
      <w:bookmarkStart w:id="27" w:name="_Toc513455553"/>
      <w:bookmarkStart w:id="28" w:name="_Toc514238619"/>
      <w:r>
        <w:rPr>
          <w:i/>
          <w:sz w:val="24"/>
          <w:szCs w:val="24"/>
        </w:rPr>
        <w:t>要有项目负责人简介，第一行填写项目负责人，填写骨干研究人员，不包括外协单位人员</w:t>
      </w:r>
    </w:p>
    <w:p>
      <w:pPr>
        <w:pStyle w:val="9"/>
        <w:spacing w:line="300" w:lineRule="auto"/>
        <w:ind w:firstLine="480"/>
        <w:rPr>
          <w:rFonts w:asciiTheme="minorEastAsia" w:hAnsiTheme="minorEastAsia"/>
          <w:sz w:val="24"/>
          <w:szCs w:val="24"/>
        </w:rPr>
      </w:pPr>
    </w:p>
    <w:p>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b/>
                <w:sz w:val="24"/>
              </w:rPr>
            </w:pPr>
            <w:r>
              <w:rPr>
                <w:b/>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bCs/>
                <w:sz w:val="24"/>
              </w:rPr>
            </w:pPr>
          </w:p>
        </w:tc>
      </w:tr>
    </w:tbl>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pPr>
        <w:autoSpaceDE w:val="0"/>
        <w:autoSpaceDN w:val="0"/>
        <w:adjustRightInd w:val="0"/>
        <w:spacing w:line="400" w:lineRule="exact"/>
        <w:rPr>
          <w:rFonts w:ascii="宋体"/>
          <w:b/>
          <w:kern w:val="0"/>
          <w:sz w:val="32"/>
        </w:rPr>
      </w:pPr>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14238626"/>
      <w:bookmarkStart w:id="30" w:name="_Toc508981745"/>
      <w:r>
        <w:rPr>
          <w:rFonts w:ascii="宋体"/>
          <w:b/>
          <w:kern w:val="0"/>
          <w:sz w:val="28"/>
        </w:rPr>
        <w:t>项目组织方式</w:t>
      </w:r>
      <w:bookmarkEnd w:id="29"/>
      <w:bookmarkEnd w:id="30"/>
    </w:p>
    <w:p>
      <w:pPr>
        <w:pStyle w:val="9"/>
        <w:spacing w:line="300" w:lineRule="auto"/>
        <w:ind w:firstLine="480"/>
        <w:rPr>
          <w:rFonts w:asciiTheme="minorEastAsia" w:hAnsiTheme="minorEastAsia"/>
          <w:sz w:val="24"/>
          <w:szCs w:val="24"/>
        </w:rPr>
      </w:pPr>
      <w:bookmarkStart w:id="31" w:name="_Toc508981746"/>
      <w:bookmarkStart w:id="32" w:name="_Toc514238627"/>
    </w:p>
    <w:p>
      <w:pPr>
        <w:pStyle w:val="74"/>
        <w:numPr>
          <w:ilvl w:val="0"/>
          <w:numId w:val="17"/>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pPr>
        <w:pStyle w:val="74"/>
        <w:numPr>
          <w:ilvl w:val="0"/>
          <w:numId w:val="12"/>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pPr>
        <w:spacing w:line="360" w:lineRule="atLeast"/>
        <w:rPr>
          <w:sz w:val="24"/>
        </w:rPr>
      </w:pPr>
    </w:p>
    <w:p>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pPr>
    </w:p>
    <w:p>
      <w:pPr>
        <w:widowControl/>
        <w:jc w:val="left"/>
        <w:rPr>
          <w:spacing w:val="10"/>
          <w:sz w:val="24"/>
        </w:rPr>
        <w:sectPr>
          <w:footerReference r:id="rId35" w:type="default"/>
          <w:footerReference r:id="rId36" w:type="even"/>
          <w:pgSz w:w="11906" w:h="16838"/>
          <w:pgMar w:top="720" w:right="720" w:bottom="720" w:left="720" w:header="851" w:footer="992" w:gutter="0"/>
          <w:pgNumType w:start="1"/>
          <w:cols w:space="720" w:num="1"/>
          <w:titlePg/>
          <w:docGrid w:type="linesAndChars" w:linePitch="312" w:charSpace="0"/>
        </w:sectPr>
      </w:pPr>
    </w:p>
    <w:p>
      <w:pPr>
        <w:pStyle w:val="3"/>
      </w:pPr>
      <w:r>
        <w:rPr>
          <w:rFonts w:hint="eastAsia"/>
        </w:rPr>
        <w:t>附件10：</w:t>
      </w:r>
    </w:p>
    <w:p>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pPr>
        <w:spacing w:line="400" w:lineRule="exact"/>
        <w:rPr>
          <w:spacing w:val="10"/>
          <w:sz w:val="24"/>
        </w:rPr>
      </w:pPr>
    </w:p>
    <w:p>
      <w:pPr>
        <w:numPr>
          <w:ilvl w:val="0"/>
          <w:numId w:val="18"/>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pPr>
        <w:numPr>
          <w:ilvl w:val="0"/>
          <w:numId w:val="18"/>
        </w:numPr>
        <w:spacing w:line="360" w:lineRule="auto"/>
        <w:rPr>
          <w:spacing w:val="10"/>
          <w:sz w:val="24"/>
        </w:rPr>
      </w:pPr>
      <w:r>
        <w:rPr>
          <w:rFonts w:hint="eastAsia"/>
          <w:spacing w:val="10"/>
          <w:sz w:val="24"/>
        </w:rPr>
        <w:t>附件10-2制造商资格声明；</w:t>
      </w:r>
    </w:p>
    <w:p>
      <w:pPr>
        <w:numPr>
          <w:ilvl w:val="0"/>
          <w:numId w:val="18"/>
        </w:numPr>
        <w:spacing w:line="360" w:lineRule="auto"/>
        <w:rPr>
          <w:spacing w:val="10"/>
          <w:sz w:val="24"/>
        </w:rPr>
      </w:pPr>
      <w:r>
        <w:rPr>
          <w:rFonts w:hint="eastAsia"/>
          <w:spacing w:val="10"/>
          <w:sz w:val="24"/>
        </w:rPr>
        <w:t>其他说明</w:t>
      </w:r>
    </w:p>
    <w:p>
      <w:pPr>
        <w:spacing w:line="360" w:lineRule="auto"/>
        <w:ind w:firstLine="260" w:firstLineChars="100"/>
        <w:rPr>
          <w:spacing w:val="10"/>
          <w:sz w:val="24"/>
        </w:rPr>
      </w:pPr>
      <w:r>
        <w:rPr>
          <w:rFonts w:hint="eastAsia"/>
          <w:spacing w:val="10"/>
          <w:sz w:val="24"/>
        </w:rPr>
        <w:t>3.1投标方询比价时，应填写和提交10-1至10-2的资料；</w:t>
      </w:r>
    </w:p>
    <w:p>
      <w:pPr>
        <w:spacing w:line="360" w:lineRule="auto"/>
        <w:ind w:firstLine="260" w:firstLineChars="100"/>
        <w:rPr>
          <w:spacing w:val="10"/>
          <w:sz w:val="24"/>
        </w:rPr>
      </w:pPr>
      <w:r>
        <w:rPr>
          <w:rFonts w:hint="eastAsia"/>
          <w:spacing w:val="10"/>
          <w:sz w:val="24"/>
        </w:rPr>
        <w:t>3.2对所附表格中要求的资料和询问应做出肯定的回答；</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pPr>
        <w:spacing w:line="360" w:lineRule="auto"/>
        <w:ind w:firstLine="260" w:firstLineChars="100"/>
        <w:rPr>
          <w:spacing w:val="10"/>
          <w:sz w:val="24"/>
        </w:rPr>
      </w:pPr>
      <w:r>
        <w:rPr>
          <w:rFonts w:hint="eastAsia"/>
          <w:spacing w:val="10"/>
          <w:sz w:val="24"/>
        </w:rPr>
        <w:t>3.5询比价项目参与人提交的文件将给予保密，但不退还；</w:t>
      </w:r>
    </w:p>
    <w:p>
      <w:pPr>
        <w:spacing w:line="360" w:lineRule="auto"/>
        <w:ind w:firstLine="260" w:firstLineChars="100"/>
        <w:rPr>
          <w:spacing w:val="10"/>
          <w:sz w:val="24"/>
        </w:rPr>
      </w:pPr>
      <w:r>
        <w:rPr>
          <w:rFonts w:hint="eastAsia"/>
          <w:spacing w:val="10"/>
          <w:sz w:val="24"/>
        </w:rPr>
        <w:t>3.6全部文件应以中文书写，正本一份，副本一份，分别汇装入投标文件正本、副本中。</w:t>
      </w:r>
    </w:p>
    <w:p>
      <w:pPr>
        <w:widowControl/>
        <w:jc w:val="left"/>
        <w:rPr>
          <w:spacing w:val="10"/>
          <w:sz w:val="24"/>
        </w:rPr>
      </w:pPr>
      <w:r>
        <w:rPr>
          <w:spacing w:val="10"/>
          <w:sz w:val="24"/>
        </w:rPr>
        <w:br w:type="page"/>
      </w:r>
    </w:p>
    <w:p>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pPr>
        <w:spacing w:line="400" w:lineRule="exact"/>
        <w:ind w:firstLine="600" w:firstLineChars="200"/>
        <w:jc w:val="center"/>
        <w:rPr>
          <w:b/>
          <w:spacing w:val="10"/>
          <w:sz w:val="28"/>
          <w:szCs w:val="28"/>
        </w:rPr>
      </w:pPr>
    </w:p>
    <w:p>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pPr>
        <w:spacing w:line="480" w:lineRule="auto"/>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单位名称（印刷体及盖章）</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法定代表人签字：</w:t>
      </w:r>
    </w:p>
    <w:p>
      <w:pPr>
        <w:spacing w:line="400" w:lineRule="exact"/>
        <w:rPr>
          <w:spacing w:val="10"/>
          <w:sz w:val="24"/>
        </w:rPr>
      </w:pPr>
    </w:p>
    <w:p>
      <w:pPr>
        <w:spacing w:line="400" w:lineRule="exact"/>
        <w:rPr>
          <w:spacing w:val="10"/>
          <w:sz w:val="24"/>
        </w:rPr>
      </w:pPr>
    </w:p>
    <w:p>
      <w:pPr>
        <w:spacing w:line="400" w:lineRule="exact"/>
        <w:rPr>
          <w:spacing w:val="10"/>
          <w:sz w:val="24"/>
          <w:u w:val="single"/>
        </w:rPr>
      </w:pPr>
      <w:r>
        <w:rPr>
          <w:rFonts w:hint="eastAsia"/>
          <w:spacing w:val="10"/>
          <w:sz w:val="24"/>
        </w:rPr>
        <w:t>授权代表（被授权人）签字：</w:t>
      </w:r>
    </w:p>
    <w:p>
      <w:pPr>
        <w:spacing w:line="400" w:lineRule="exact"/>
        <w:rPr>
          <w:spacing w:val="10"/>
          <w:sz w:val="24"/>
        </w:rPr>
      </w:pPr>
    </w:p>
    <w:p>
      <w:pPr>
        <w:spacing w:line="400" w:lineRule="exact"/>
        <w:rPr>
          <w:spacing w:val="10"/>
          <w:sz w:val="24"/>
        </w:rPr>
      </w:pPr>
    </w:p>
    <w:p>
      <w:pPr>
        <w:spacing w:line="400" w:lineRule="exact"/>
        <w:rPr>
          <w:spacing w:val="10"/>
          <w:sz w:val="24"/>
        </w:rPr>
      </w:pPr>
      <w:r>
        <w:rPr>
          <w:rFonts w:hint="eastAsia"/>
          <w:spacing w:val="10"/>
          <w:sz w:val="24"/>
        </w:rPr>
        <w:t>注：如询比价参与人为法人代表的应在本页注明，可不提供此授权书。</w:t>
      </w:r>
    </w:p>
    <w:p>
      <w:pPr>
        <w:widowControl/>
        <w:jc w:val="left"/>
        <w:rPr>
          <w:spacing w:val="10"/>
          <w:sz w:val="24"/>
        </w:rPr>
      </w:pPr>
      <w:r>
        <w:rPr>
          <w:spacing w:val="10"/>
          <w:sz w:val="24"/>
        </w:rPr>
        <w:br w:type="page"/>
      </w:r>
    </w:p>
    <w:p>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pPr>
        <w:spacing w:line="400" w:lineRule="exact"/>
        <w:jc w:val="center"/>
        <w:rPr>
          <w:spacing w:val="10"/>
          <w:sz w:val="24"/>
        </w:rPr>
      </w:pPr>
      <w:r>
        <w:rPr>
          <w:rFonts w:hint="eastAsia" w:ascii="宋体" w:hAnsi="宋体"/>
          <w:sz w:val="24"/>
        </w:rPr>
        <w:t>询比价项目参与人的单位简介、经营状况</w:t>
      </w:r>
    </w:p>
    <w:p>
      <w:pPr>
        <w:numPr>
          <w:ilvl w:val="0"/>
          <w:numId w:val="19"/>
        </w:numPr>
        <w:spacing w:line="400" w:lineRule="exact"/>
        <w:rPr>
          <w:spacing w:val="10"/>
          <w:sz w:val="24"/>
        </w:rPr>
      </w:pPr>
      <w:r>
        <w:rPr>
          <w:rFonts w:hint="eastAsia"/>
          <w:spacing w:val="10"/>
          <w:sz w:val="24"/>
        </w:rPr>
        <w:t>投标方名称及概况</w:t>
      </w:r>
      <w:r>
        <w:rPr>
          <w:spacing w:val="10"/>
          <w:sz w:val="24"/>
        </w:rPr>
        <w:t>:</w:t>
      </w:r>
    </w:p>
    <w:p>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pPr>
        <w:numPr>
          <w:ilvl w:val="0"/>
          <w:numId w:val="19"/>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spacing w:line="400" w:lineRule="exact"/>
              <w:jc w:val="center"/>
              <w:rPr>
                <w:spacing w:val="10"/>
                <w:sz w:val="24"/>
              </w:rPr>
            </w:pPr>
            <w:r>
              <w:rPr>
                <w:rFonts w:hint="eastAsia"/>
                <w:spacing w:val="10"/>
                <w:sz w:val="24"/>
              </w:rPr>
              <w:t>年度</w:t>
            </w:r>
          </w:p>
        </w:tc>
        <w:tc>
          <w:tcPr>
            <w:tcW w:w="2871" w:type="dxa"/>
          </w:tcPr>
          <w:p>
            <w:pPr>
              <w:spacing w:line="400" w:lineRule="exact"/>
              <w:jc w:val="center"/>
              <w:rPr>
                <w:spacing w:val="10"/>
                <w:sz w:val="24"/>
              </w:rPr>
            </w:pPr>
            <w:r>
              <w:rPr>
                <w:rFonts w:hint="eastAsia"/>
                <w:spacing w:val="10"/>
                <w:sz w:val="24"/>
              </w:rPr>
              <w:t>国内</w:t>
            </w:r>
          </w:p>
        </w:tc>
        <w:tc>
          <w:tcPr>
            <w:tcW w:w="2872" w:type="dxa"/>
          </w:tcPr>
          <w:p>
            <w:pPr>
              <w:spacing w:line="400" w:lineRule="exact"/>
              <w:jc w:val="center"/>
              <w:rPr>
                <w:spacing w:val="10"/>
                <w:sz w:val="24"/>
              </w:rPr>
            </w:pPr>
            <w:r>
              <w:rPr>
                <w:rFonts w:hint="eastAsia"/>
                <w:spacing w:val="10"/>
                <w:sz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pPr>
              <w:keepNext/>
              <w:tabs>
                <w:tab w:val="left" w:pos="480"/>
              </w:tabs>
              <w:spacing w:line="400" w:lineRule="exact"/>
              <w:ind w:left="425"/>
              <w:outlineLvl w:val="0"/>
              <w:rPr>
                <w:spacing w:val="10"/>
                <w:sz w:val="24"/>
              </w:rPr>
            </w:pPr>
          </w:p>
        </w:tc>
        <w:tc>
          <w:tcPr>
            <w:tcW w:w="2871" w:type="dxa"/>
          </w:tcPr>
          <w:p>
            <w:pPr>
              <w:keepNext/>
              <w:tabs>
                <w:tab w:val="left" w:pos="480"/>
              </w:tabs>
              <w:spacing w:line="400" w:lineRule="exact"/>
              <w:ind w:left="425"/>
              <w:outlineLvl w:val="0"/>
              <w:rPr>
                <w:spacing w:val="10"/>
                <w:sz w:val="24"/>
              </w:rPr>
            </w:pPr>
          </w:p>
        </w:tc>
        <w:tc>
          <w:tcPr>
            <w:tcW w:w="2872" w:type="dxa"/>
          </w:tcPr>
          <w:p>
            <w:pPr>
              <w:keepNext/>
              <w:tabs>
                <w:tab w:val="left" w:pos="480"/>
              </w:tabs>
              <w:spacing w:line="400" w:lineRule="exact"/>
              <w:ind w:left="425"/>
              <w:outlineLvl w:val="0"/>
              <w:rPr>
                <w:spacing w:val="10"/>
                <w:sz w:val="24"/>
              </w:rPr>
            </w:pPr>
          </w:p>
        </w:tc>
      </w:tr>
    </w:tbl>
    <w:p>
      <w:pPr>
        <w:numPr>
          <w:ilvl w:val="0"/>
          <w:numId w:val="19"/>
        </w:numPr>
        <w:spacing w:line="400" w:lineRule="exact"/>
        <w:rPr>
          <w:spacing w:val="10"/>
          <w:sz w:val="24"/>
        </w:rPr>
      </w:pPr>
      <w:r>
        <w:rPr>
          <w:rFonts w:hint="eastAsia"/>
          <w:spacing w:val="10"/>
          <w:sz w:val="24"/>
        </w:rPr>
        <w:t>开户银行和账户：</w:t>
      </w:r>
    </w:p>
    <w:p>
      <w:pPr>
        <w:numPr>
          <w:ilvl w:val="0"/>
          <w:numId w:val="19"/>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pPr>
        <w:spacing w:line="480" w:lineRule="auto"/>
        <w:jc w:val="left"/>
        <w:rPr>
          <w:spacing w:val="10"/>
          <w:sz w:val="24"/>
        </w:rPr>
      </w:pPr>
      <w:r>
        <w:rPr>
          <w:rFonts w:hint="eastAsia"/>
          <w:spacing w:val="10"/>
          <w:sz w:val="24"/>
        </w:rPr>
        <w:t>投标方名称（盖章）：</w:t>
      </w:r>
    </w:p>
    <w:p>
      <w:pPr>
        <w:spacing w:line="480" w:lineRule="auto"/>
        <w:rPr>
          <w:spacing w:val="10"/>
          <w:sz w:val="24"/>
          <w:u w:val="single"/>
        </w:rPr>
      </w:pPr>
      <w:r>
        <w:rPr>
          <w:rFonts w:hint="eastAsia"/>
          <w:spacing w:val="10"/>
          <w:sz w:val="24"/>
        </w:rPr>
        <w:t>授权代表签字：</w:t>
      </w:r>
    </w:p>
    <w:p>
      <w:pPr>
        <w:spacing w:line="480" w:lineRule="auto"/>
        <w:rPr>
          <w:spacing w:val="10"/>
          <w:sz w:val="24"/>
        </w:rPr>
      </w:pPr>
      <w:r>
        <w:rPr>
          <w:rFonts w:hint="eastAsia"/>
          <w:spacing w:val="10"/>
          <w:sz w:val="24"/>
        </w:rPr>
        <w:t>授权代表姓名和职务（印刷体）：</w:t>
      </w:r>
    </w:p>
    <w:p>
      <w:pPr>
        <w:spacing w:line="480" w:lineRule="auto"/>
        <w:rPr>
          <w:spacing w:val="10"/>
          <w:sz w:val="24"/>
          <w:u w:val="single"/>
        </w:rPr>
      </w:pPr>
      <w:r>
        <w:rPr>
          <w:rFonts w:hint="eastAsia"/>
          <w:spacing w:val="10"/>
          <w:sz w:val="24"/>
        </w:rPr>
        <w:t>传真／电话：</w:t>
      </w:r>
    </w:p>
    <w:p>
      <w:pPr>
        <w:spacing w:line="480" w:lineRule="auto"/>
        <w:rPr>
          <w:spacing w:val="10"/>
          <w:sz w:val="24"/>
        </w:rPr>
      </w:pPr>
      <w:r>
        <w:rPr>
          <w:rFonts w:hint="eastAsia"/>
          <w:spacing w:val="10"/>
          <w:sz w:val="24"/>
        </w:rPr>
        <w:t>日期：年月日</w:t>
      </w:r>
      <w:r>
        <w:rPr>
          <w:spacing w:val="10"/>
          <w:sz w:val="24"/>
        </w:rPr>
        <w:t>.</w:t>
      </w:r>
    </w:p>
    <w:p>
      <w:pPr>
        <w:spacing w:line="480" w:lineRule="auto"/>
        <w:rPr>
          <w:spacing w:val="10"/>
          <w:sz w:val="24"/>
        </w:rPr>
      </w:pPr>
    </w:p>
    <w:p>
      <w:pPr>
        <w:pStyle w:val="3"/>
        <w:rPr>
          <w:rFonts w:ascii="Times New Roman"/>
          <w:spacing w:val="10"/>
        </w:rPr>
      </w:pPr>
      <w:r>
        <w:rPr>
          <w:rFonts w:hint="eastAsia" w:ascii="Times New Roman"/>
          <w:spacing w:val="10"/>
        </w:rPr>
        <w:t>附件11：</w:t>
      </w:r>
    </w:p>
    <w:p>
      <w:pPr>
        <w:widowControl/>
        <w:adjustRightInd w:val="0"/>
        <w:snapToGrid w:val="0"/>
        <w:spacing w:line="360" w:lineRule="auto"/>
        <w:jc w:val="left"/>
        <w:rPr>
          <w:spacing w:val="10"/>
        </w:rPr>
      </w:pPr>
      <w:r>
        <w:rPr>
          <w:rFonts w:hint="eastAsia"/>
          <w:spacing w:val="10"/>
        </w:rPr>
        <w:t>询比价项目参与人授权代表身份证复印件</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附件12：</w:t>
      </w:r>
    </w:p>
    <w:p>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pPr>
        <w:pStyle w:val="3"/>
        <w:rPr>
          <w:rFonts w:ascii="Times New Roman"/>
          <w:spacing w:val="10"/>
        </w:rPr>
      </w:pPr>
      <w:r>
        <w:rPr>
          <w:rFonts w:hint="eastAsia" w:ascii="Times New Roman"/>
          <w:spacing w:val="10"/>
        </w:rPr>
        <w:t>附件13：</w:t>
      </w:r>
    </w:p>
    <w:p>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i/>
          <w:spacing w:val="10"/>
        </w:rPr>
      </w:pPr>
      <w:r>
        <w:rPr>
          <w:rFonts w:hint="eastAsia"/>
          <w:spacing w:val="10"/>
          <w:sz w:val="24"/>
        </w:rPr>
        <w:t>询比价单位盖章：单位</w:t>
      </w:r>
      <w:r>
        <w:rPr>
          <w:spacing w:val="10"/>
          <w:sz w:val="24"/>
        </w:rPr>
        <w:t>名称</w:t>
      </w:r>
    </w:p>
    <w:p>
      <w:pPr>
        <w:pStyle w:val="3"/>
        <w:rPr>
          <w:rFonts w:ascii="Times New Roman"/>
          <w:spacing w:val="10"/>
        </w:rPr>
      </w:pPr>
      <w:r>
        <w:rPr>
          <w:rFonts w:hint="eastAsia" w:ascii="Times New Roman"/>
          <w:spacing w:val="10"/>
        </w:rPr>
        <w:t>附件14：</w:t>
      </w:r>
    </w:p>
    <w:p>
      <w:pPr>
        <w:widowControl/>
        <w:adjustRightInd w:val="0"/>
        <w:snapToGrid w:val="0"/>
        <w:spacing w:line="360" w:lineRule="auto"/>
        <w:jc w:val="left"/>
        <w:rPr>
          <w:spacing w:val="10"/>
        </w:rPr>
      </w:pPr>
      <w:r>
        <w:rPr>
          <w:rFonts w:hint="eastAsia"/>
          <w:i/>
          <w:spacing w:val="10"/>
        </w:rPr>
        <w:t>售后服务情况</w:t>
      </w:r>
    </w:p>
    <w:p>
      <w:pPr>
        <w:spacing w:line="400" w:lineRule="exact"/>
        <w:rPr>
          <w:spacing w:val="10"/>
          <w:sz w:val="24"/>
          <w:u w:val="single"/>
        </w:rPr>
      </w:pPr>
      <w:r>
        <w:rPr>
          <w:rFonts w:hint="eastAsia"/>
          <w:spacing w:val="10"/>
          <w:sz w:val="24"/>
        </w:rPr>
        <w:t>询比价项目参与人代表签字：</w:t>
      </w:r>
    </w:p>
    <w:p>
      <w:pPr>
        <w:spacing w:line="400" w:lineRule="exact"/>
        <w:rPr>
          <w:spacing w:val="10"/>
          <w:sz w:val="24"/>
          <w:u w:val="single"/>
        </w:rPr>
      </w:pPr>
    </w:p>
    <w:p>
      <w:pPr>
        <w:spacing w:line="400" w:lineRule="exact"/>
        <w:rPr>
          <w:spacing w:val="10"/>
          <w:sz w:val="24"/>
          <w:u w:val="single"/>
        </w:rPr>
      </w:pPr>
      <w:r>
        <w:rPr>
          <w:rFonts w:hint="eastAsia"/>
          <w:spacing w:val="10"/>
          <w:sz w:val="24"/>
        </w:rPr>
        <w:t>职务/职称：             日期：</w:t>
      </w:r>
    </w:p>
    <w:p>
      <w:pPr>
        <w:spacing w:line="400" w:lineRule="exact"/>
        <w:rPr>
          <w:spacing w:val="10"/>
          <w:sz w:val="24"/>
        </w:rPr>
      </w:pPr>
    </w:p>
    <w:p>
      <w:pPr>
        <w:spacing w:line="400" w:lineRule="exact"/>
        <w:rPr>
          <w:spacing w:val="10"/>
          <w:sz w:val="24"/>
        </w:rPr>
      </w:pPr>
      <w:r>
        <w:rPr>
          <w:rFonts w:hint="eastAsia"/>
          <w:spacing w:val="10"/>
          <w:sz w:val="24"/>
        </w:rPr>
        <w:t>询比价单位盖章：单位</w:t>
      </w:r>
      <w:r>
        <w:rPr>
          <w:spacing w:val="10"/>
          <w:sz w:val="24"/>
        </w:rPr>
        <w:t>名称</w:t>
      </w:r>
    </w:p>
    <w:p>
      <w:pPr>
        <w:spacing w:line="400" w:lineRule="exact"/>
        <w:rPr>
          <w:spacing w:val="10"/>
          <w:sz w:val="24"/>
        </w:rPr>
      </w:pPr>
    </w:p>
    <w:p>
      <w:pPr>
        <w:pStyle w:val="3"/>
        <w:rPr>
          <w:rFonts w:ascii="Times New Roman"/>
          <w:spacing w:val="10"/>
        </w:rPr>
      </w:pPr>
      <w:r>
        <w:rPr>
          <w:rFonts w:hint="eastAsia" w:ascii="Times New Roman"/>
          <w:spacing w:val="10"/>
        </w:rPr>
        <w:t>附件15：</w:t>
      </w:r>
    </w:p>
    <w:p>
      <w:pPr>
        <w:widowControl/>
        <w:adjustRightInd w:val="0"/>
        <w:snapToGrid w:val="0"/>
        <w:spacing w:line="360" w:lineRule="auto"/>
        <w:jc w:val="left"/>
        <w:rPr>
          <w:i/>
          <w:spacing w:val="10"/>
        </w:rPr>
      </w:pPr>
      <w:r>
        <w:rPr>
          <w:rFonts w:hint="eastAsia"/>
          <w:i/>
          <w:spacing w:val="10"/>
        </w:rPr>
        <w:t>其它需要说明的情况，如果没有可不提供</w:t>
      </w:r>
    </w:p>
    <w:p>
      <w:pPr>
        <w:widowControl/>
        <w:adjustRightInd w:val="0"/>
        <w:snapToGrid w:val="0"/>
        <w:spacing w:line="360" w:lineRule="auto"/>
        <w:jc w:val="left"/>
        <w:rPr>
          <w:i/>
          <w:spacing w:val="10"/>
        </w:rPr>
      </w:pPr>
    </w:p>
    <w:sectPr>
      <w:headerReference r:id="rId39" w:type="first"/>
      <w:footerReference r:id="rId42" w:type="first"/>
      <w:headerReference r:id="rId37" w:type="default"/>
      <w:footerReference r:id="rId40" w:type="default"/>
      <w:headerReference r:id="rId38" w:type="even"/>
      <w:footerReference r:id="rId41"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9</w:t>
    </w:r>
    <w:r>
      <w:rPr>
        <w:rStyle w:val="32"/>
      </w:rPr>
      <w:fldChar w:fldCharType="end"/>
    </w:r>
  </w:p>
  <w:p>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35</w:t>
    </w:r>
    <w:r>
      <w:rPr>
        <w:rStyle w:val="32"/>
      </w:rPr>
      <w:fldChar w:fldCharType="end"/>
    </w:r>
  </w:p>
  <w:p>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24</w:t>
    </w:r>
    <w:r>
      <w:rPr>
        <w:rStyle w:val="32"/>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32</w:t>
    </w:r>
    <w:r>
      <w:rPr>
        <w:rStyle w:val="32"/>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4">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5D6107"/>
    <w:multiLevelType w:val="multilevel"/>
    <w:tmpl w:val="575D610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EA4009"/>
    <w:multiLevelType w:val="singleLevel"/>
    <w:tmpl w:val="6BEA4009"/>
    <w:lvl w:ilvl="0" w:tentative="0">
      <w:start w:val="1"/>
      <w:numFmt w:val="decimal"/>
      <w:suff w:val="nothing"/>
      <w:lvlText w:val="（%1）"/>
      <w:lvlJc w:val="left"/>
    </w:lvl>
  </w:abstractNum>
  <w:abstractNum w:abstractNumId="16">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680418"/>
    <w:multiLevelType w:val="singleLevel"/>
    <w:tmpl w:val="7C680418"/>
    <w:lvl w:ilvl="0" w:tentative="0">
      <w:start w:val="1"/>
      <w:numFmt w:val="decimal"/>
      <w:lvlText w:val="%1."/>
      <w:lvlJc w:val="left"/>
      <w:pPr>
        <w:ind w:left="420" w:hanging="420"/>
      </w:pPr>
    </w:lvl>
  </w:abstractNum>
  <w:abstractNum w:abstractNumId="18">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18"/>
  </w:num>
  <w:num w:numId="4">
    <w:abstractNumId w:val="17"/>
  </w:num>
  <w:num w:numId="5">
    <w:abstractNumId w:val="5"/>
  </w:num>
  <w:num w:numId="6">
    <w:abstractNumId w:val="9"/>
  </w:num>
  <w:num w:numId="7">
    <w:abstractNumId w:val="4"/>
  </w:num>
  <w:num w:numId="8">
    <w:abstractNumId w:val="0"/>
  </w:num>
  <w:num w:numId="9">
    <w:abstractNumId w:val="15"/>
  </w:num>
  <w:num w:numId="10">
    <w:abstractNumId w:val="10"/>
  </w:num>
  <w:num w:numId="11">
    <w:abstractNumId w:val="1"/>
  </w:num>
  <w:num w:numId="12">
    <w:abstractNumId w:val="13"/>
  </w:num>
  <w:num w:numId="13">
    <w:abstractNumId w:val="14"/>
  </w:num>
  <w:num w:numId="14">
    <w:abstractNumId w:val="16"/>
  </w:num>
  <w:num w:numId="15">
    <w:abstractNumId w:val="6"/>
  </w:num>
  <w:num w:numId="16">
    <w:abstractNumId w:val="11"/>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c3ZjZiNDA2YjFhNjcwNzE5ZmQ2Y2Y4ZTk0ZDMifQ=="/>
  </w:docVars>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56A"/>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6386"/>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0EA"/>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370"/>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51"/>
    <w:rsid w:val="001B09AB"/>
    <w:rsid w:val="001B0F1A"/>
    <w:rsid w:val="001B1507"/>
    <w:rsid w:val="001B2AC8"/>
    <w:rsid w:val="001B2CE1"/>
    <w:rsid w:val="001B415E"/>
    <w:rsid w:val="001B4C4A"/>
    <w:rsid w:val="001B503D"/>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45D"/>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21EE"/>
    <w:rsid w:val="0021361B"/>
    <w:rsid w:val="00213893"/>
    <w:rsid w:val="002143A4"/>
    <w:rsid w:val="0021483B"/>
    <w:rsid w:val="00214864"/>
    <w:rsid w:val="00216109"/>
    <w:rsid w:val="0021671B"/>
    <w:rsid w:val="00216DE2"/>
    <w:rsid w:val="002175DE"/>
    <w:rsid w:val="00217AC7"/>
    <w:rsid w:val="0022049D"/>
    <w:rsid w:val="00222104"/>
    <w:rsid w:val="00224DEE"/>
    <w:rsid w:val="00224EA8"/>
    <w:rsid w:val="00225CD0"/>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D87"/>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77520"/>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58E1"/>
    <w:rsid w:val="00396225"/>
    <w:rsid w:val="003974C7"/>
    <w:rsid w:val="0039771E"/>
    <w:rsid w:val="00397BEC"/>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1E7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D7DB0"/>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0D7E"/>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67DC1"/>
    <w:rsid w:val="00470148"/>
    <w:rsid w:val="00470785"/>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139"/>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26A"/>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5A0B"/>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5F30"/>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88E"/>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0AA4"/>
    <w:rsid w:val="006318D1"/>
    <w:rsid w:val="006330FB"/>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341"/>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831"/>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4F4"/>
    <w:rsid w:val="006B5AFC"/>
    <w:rsid w:val="006B5D6F"/>
    <w:rsid w:val="006B63EF"/>
    <w:rsid w:val="006B6481"/>
    <w:rsid w:val="006C0B60"/>
    <w:rsid w:val="006C18CD"/>
    <w:rsid w:val="006C2971"/>
    <w:rsid w:val="006C2F99"/>
    <w:rsid w:val="006C3404"/>
    <w:rsid w:val="006C42BE"/>
    <w:rsid w:val="006C4C29"/>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45D5"/>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31"/>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5B5E"/>
    <w:rsid w:val="007B5C52"/>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904"/>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090F"/>
    <w:rsid w:val="008E10E2"/>
    <w:rsid w:val="008E139D"/>
    <w:rsid w:val="008E1D29"/>
    <w:rsid w:val="008E243C"/>
    <w:rsid w:val="008E289F"/>
    <w:rsid w:val="008E2F11"/>
    <w:rsid w:val="008E300E"/>
    <w:rsid w:val="008E394F"/>
    <w:rsid w:val="008E3A17"/>
    <w:rsid w:val="008E4D2C"/>
    <w:rsid w:val="008E5121"/>
    <w:rsid w:val="008E56B2"/>
    <w:rsid w:val="008E5E7A"/>
    <w:rsid w:val="008E5E83"/>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4DC7"/>
    <w:rsid w:val="00915C42"/>
    <w:rsid w:val="0091658C"/>
    <w:rsid w:val="00916BAA"/>
    <w:rsid w:val="00916C2B"/>
    <w:rsid w:val="00917F43"/>
    <w:rsid w:val="00920B2B"/>
    <w:rsid w:val="0092122B"/>
    <w:rsid w:val="0092183B"/>
    <w:rsid w:val="00921DA5"/>
    <w:rsid w:val="00921F46"/>
    <w:rsid w:val="00922B9E"/>
    <w:rsid w:val="00922C6E"/>
    <w:rsid w:val="00924095"/>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87A65"/>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4DD6"/>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590"/>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4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0831"/>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1F6"/>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DE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3703"/>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3772"/>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A7EC6"/>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3E7"/>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1771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6B53"/>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5F9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308"/>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232"/>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2BA2"/>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9D"/>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072"/>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DD1"/>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4C82"/>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07974"/>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A46"/>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16F"/>
    <w:rsid w:val="00F964EC"/>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1B"/>
    <w:rsid w:val="00FB60C3"/>
    <w:rsid w:val="00FB6852"/>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44851474"/>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8">
    <w:name w:val="List 3"/>
    <w:basedOn w:val="1"/>
    <w:uiPriority w:val="0"/>
    <w:pPr>
      <w:ind w:left="100" w:hanging="200"/>
    </w:pPr>
    <w:rPr>
      <w:szCs w:val="20"/>
    </w:rPr>
  </w:style>
  <w:style w:type="paragraph" w:styleId="9">
    <w:name w:val="Normal Indent"/>
    <w:basedOn w:val="1"/>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uiPriority w:val="0"/>
    <w:pPr>
      <w:spacing w:after="120"/>
    </w:pPr>
  </w:style>
  <w:style w:type="paragraph" w:styleId="14">
    <w:name w:val="Body Text Indent"/>
    <w:basedOn w:val="1"/>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uiPriority w:val="0"/>
    <w:pPr>
      <w:spacing w:after="120"/>
      <w:ind w:left="420" w:leftChars="200"/>
    </w:pPr>
    <w:rPr>
      <w:sz w:val="16"/>
      <w:szCs w:val="16"/>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 w:type="paragraph" w:customStyle="1" w:styleId="77">
    <w:name w:val="我的标题3"/>
    <w:basedOn w:val="1"/>
    <w:qFormat/>
    <w:uiPriority w:val="0"/>
    <w:pPr>
      <w:tabs>
        <w:tab w:val="left" w:pos="2085"/>
      </w:tabs>
      <w:adjustRightInd w:val="0"/>
      <w:spacing w:before="50" w:beforeLines="50" w:after="50" w:afterLines="50" w:line="300" w:lineRule="auto"/>
      <w:textAlignment w:val="baseline"/>
    </w:pPr>
    <w:rPr>
      <w:rFonts w:eastAsia="仿宋"/>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numbering" Target="numbering.xml"/><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19355-06EB-46B9-BC04-2FAAE8B88D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3178</Words>
  <Characters>18117</Characters>
  <Lines>150</Lines>
  <Paragraphs>42</Paragraphs>
  <TotalTime>77</TotalTime>
  <ScaleCrop>false</ScaleCrop>
  <LinksUpToDate>false</LinksUpToDate>
  <CharactersWithSpaces>21253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2023-09-15T07:38:00Z</dcterms:created>
  <dc:creator>zbww</dc:creator>
  <cp:lastModifiedBy>Administrator</cp:lastModifiedBy>
  <cp:lastPrinted>2014-07-04T01:51:00Z</cp:lastPrinted>
  <dcterms:modified xsi:type="dcterms:W3CDTF">2023-11-06T13:14:05Z</dcterms:modified>
  <dc:title>招 标 文 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F04A14582D754623B73ACED94092D62F</vt:lpwstr>
  </property>
</Properties>
</file>