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szCs w:val="21"/>
        </w:rPr>
      </w:pPr>
      <w:r>
        <w:rPr>
          <w:rFonts w:hint="eastAsia" w:ascii="宋体"/>
          <w:szCs w:val="21"/>
        </w:rPr>
        <w:t>公开</w:t>
      </w:r>
    </w:p>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center"/>
        <w:rPr>
          <w:rFonts w:ascii="宋体"/>
          <w:sz w:val="84"/>
        </w:rPr>
      </w:pPr>
      <w:r>
        <w:rPr>
          <w:rFonts w:hint="eastAsia" w:ascii="宋体"/>
          <w:sz w:val="84"/>
        </w:rPr>
        <w:t>询比价文件</w:t>
      </w:r>
    </w:p>
    <w:p>
      <w:pPr>
        <w:spacing w:line="360" w:lineRule="atLeast"/>
        <w:jc w:val="center"/>
        <w:rPr>
          <w:sz w:val="32"/>
        </w:rPr>
      </w:pPr>
    </w:p>
    <w:p>
      <w:pPr>
        <w:spacing w:line="360" w:lineRule="atLeast"/>
        <w:jc w:val="center"/>
        <w:rPr>
          <w:sz w:val="32"/>
        </w:rPr>
      </w:pPr>
    </w:p>
    <w:p>
      <w:pPr>
        <w:spacing w:line="360" w:lineRule="atLeast"/>
        <w:jc w:val="center"/>
        <w:rPr>
          <w:sz w:val="32"/>
        </w:rPr>
      </w:pPr>
    </w:p>
    <w:p>
      <w:pPr>
        <w:spacing w:line="360" w:lineRule="atLeast"/>
        <w:jc w:val="center"/>
        <w:rPr>
          <w:sz w:val="32"/>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5"/>
        <w:gridCol w:w="5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5" w:type="dxa"/>
          </w:tcPr>
          <w:p>
            <w:pPr>
              <w:spacing w:line="360" w:lineRule="atLeast"/>
              <w:jc w:val="right"/>
              <w:rPr>
                <w:rFonts w:ascii="宋体"/>
                <w:sz w:val="32"/>
              </w:rPr>
            </w:pPr>
            <w:r>
              <w:rPr>
                <w:rFonts w:hint="eastAsia"/>
                <w:sz w:val="32"/>
              </w:rPr>
              <w:t>询比价编号：</w:t>
            </w:r>
          </w:p>
        </w:tc>
        <w:tc>
          <w:tcPr>
            <w:tcW w:w="5443" w:type="dxa"/>
          </w:tcPr>
          <w:p>
            <w:pPr>
              <w:jc w:val="left"/>
              <w:rPr>
                <w:rFonts w:ascii="仿宋" w:hAnsi="仿宋" w:eastAsia="仿宋"/>
                <w:kern w:val="0"/>
                <w:sz w:val="24"/>
              </w:rPr>
            </w:pPr>
            <w:r>
              <w:rPr>
                <w:rFonts w:hint="eastAsia" w:ascii="仿宋" w:hAnsi="仿宋" w:eastAsia="仿宋"/>
                <w:kern w:val="0"/>
                <w:sz w:val="24"/>
              </w:rPr>
              <w:t>CXJJXBJ-2026-001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5" w:type="dxa"/>
          </w:tcPr>
          <w:p>
            <w:pPr>
              <w:spacing w:line="360" w:lineRule="atLeast"/>
              <w:ind w:firstLine="960" w:firstLineChars="300"/>
              <w:jc w:val="both"/>
              <w:rPr>
                <w:rFonts w:ascii="宋体"/>
                <w:sz w:val="32"/>
              </w:rPr>
            </w:pPr>
            <w:r>
              <w:rPr>
                <w:rFonts w:hint="eastAsia"/>
                <w:sz w:val="32"/>
              </w:rPr>
              <w:t>项目名称：</w:t>
            </w:r>
          </w:p>
        </w:tc>
        <w:tc>
          <w:tcPr>
            <w:tcW w:w="5443" w:type="dxa"/>
          </w:tcPr>
          <w:p>
            <w:pPr>
              <w:spacing w:line="360" w:lineRule="atLeast"/>
              <w:rPr>
                <w:rFonts w:hint="eastAsia" w:ascii="宋体" w:hAnsi="宋体" w:eastAsia="宋体" w:cs="Arial"/>
                <w:sz w:val="24"/>
                <w:lang w:eastAsia="zh-CN"/>
              </w:rPr>
            </w:pPr>
            <w:r>
              <w:rPr>
                <w:rFonts w:hint="eastAsia" w:ascii="宋体" w:hAnsi="宋体" w:cs="Arial"/>
                <w:sz w:val="32"/>
                <w:szCs w:val="32"/>
                <w:lang w:eastAsia="zh-CN"/>
              </w:rPr>
              <w:t>机加工工艺数据设计开发与应用研究</w:t>
            </w:r>
          </w:p>
        </w:tc>
      </w:tr>
    </w:tbl>
    <w:p>
      <w:pPr>
        <w:spacing w:line="360" w:lineRule="atLeast"/>
        <w:rPr>
          <w:rFonts w:ascii="宋体"/>
          <w:sz w:val="32"/>
        </w:rPr>
      </w:pPr>
    </w:p>
    <w:p/>
    <w:p>
      <w:pPr>
        <w:spacing w:line="480" w:lineRule="exact"/>
      </w:pPr>
    </w:p>
    <w:p/>
    <w:p/>
    <w:p/>
    <w:p/>
    <w:p/>
    <w:p/>
    <w:p/>
    <w:p/>
    <w:p>
      <w:pPr>
        <w:spacing w:before="240"/>
        <w:jc w:val="center"/>
        <w:rPr>
          <w:spacing w:val="20"/>
          <w:sz w:val="32"/>
        </w:rPr>
      </w:pPr>
    </w:p>
    <w:p>
      <w:pPr>
        <w:spacing w:before="240"/>
        <w:jc w:val="center"/>
        <w:rPr>
          <w:rFonts w:ascii="宋体" w:hAnsi="宋体"/>
          <w:b/>
          <w:bCs/>
          <w:sz w:val="36"/>
          <w:szCs w:val="36"/>
        </w:rPr>
      </w:pPr>
      <w:r>
        <w:rPr>
          <w:rFonts w:hint="eastAsia" w:ascii="宋体" w:hAnsi="宋体"/>
          <w:b/>
          <w:bCs/>
          <w:sz w:val="36"/>
          <w:szCs w:val="36"/>
        </w:rPr>
        <w:t>中国航发航空科技股份有限公司</w:t>
      </w:r>
    </w:p>
    <w:p>
      <w:pPr>
        <w:widowControl/>
        <w:jc w:val="center"/>
        <w:rPr>
          <w:rFonts w:ascii="宋体" w:hAnsi="宋体" w:cs="宋体"/>
          <w:spacing w:val="20"/>
          <w:sz w:val="32"/>
        </w:rPr>
      </w:pPr>
      <w:r>
        <w:rPr>
          <w:rFonts w:hint="eastAsia" w:ascii="宋体" w:hAnsi="宋体" w:cs="宋体"/>
          <w:b/>
          <w:spacing w:val="20"/>
          <w:sz w:val="32"/>
        </w:rPr>
        <w:t>202</w:t>
      </w:r>
      <w:r>
        <w:rPr>
          <w:rFonts w:hint="eastAsia" w:ascii="宋体" w:hAnsi="宋体" w:cs="宋体"/>
          <w:b/>
          <w:spacing w:val="20"/>
          <w:sz w:val="32"/>
          <w:lang w:val="en-US" w:eastAsia="zh-CN"/>
        </w:rPr>
        <w:t>6</w:t>
      </w:r>
      <w:r>
        <w:rPr>
          <w:rFonts w:hint="eastAsia" w:ascii="宋体" w:hAnsi="宋体" w:cs="宋体"/>
          <w:b/>
          <w:spacing w:val="20"/>
          <w:sz w:val="32"/>
        </w:rPr>
        <w:t>年</w:t>
      </w:r>
      <w:r>
        <w:rPr>
          <w:rFonts w:hint="eastAsia" w:ascii="宋体" w:hAnsi="宋体" w:cs="宋体"/>
          <w:b/>
          <w:spacing w:val="20"/>
          <w:sz w:val="32"/>
          <w:lang w:val="en-US" w:eastAsia="zh-CN"/>
        </w:rPr>
        <w:t>3</w:t>
      </w:r>
      <w:r>
        <w:rPr>
          <w:rFonts w:hint="eastAsia" w:ascii="宋体" w:hAnsi="宋体" w:cs="宋体"/>
          <w:b/>
          <w:spacing w:val="20"/>
          <w:sz w:val="32"/>
        </w:rPr>
        <w:t>月</w:t>
      </w:r>
      <w:r>
        <w:rPr>
          <w:rFonts w:hint="eastAsia" w:ascii="宋体" w:hAnsi="宋体" w:cs="宋体"/>
          <w:spacing w:val="20"/>
          <w:sz w:val="32"/>
        </w:rPr>
        <w:br w:type="page"/>
      </w:r>
    </w:p>
    <w:p>
      <w:pPr>
        <w:spacing w:before="240"/>
        <w:jc w:val="center"/>
        <w:rPr>
          <w:rFonts w:ascii="宋体" w:hAnsi="宋体" w:cs="宋体"/>
          <w:spacing w:val="20"/>
          <w:sz w:val="32"/>
        </w:rPr>
        <w:sectPr>
          <w:footerReference r:id="rId3" w:type="default"/>
          <w:footerReference r:id="rId4" w:type="even"/>
          <w:pgSz w:w="11906" w:h="16838"/>
          <w:pgMar w:top="1440" w:right="1797" w:bottom="1440" w:left="1797" w:header="851" w:footer="992" w:gutter="0"/>
          <w:cols w:space="425" w:num="1"/>
          <w:titlePg/>
          <w:docGrid w:type="lines" w:linePitch="312" w:charSpace="0"/>
        </w:sectPr>
      </w:pPr>
    </w:p>
    <w:p>
      <w:pPr>
        <w:pStyle w:val="2"/>
        <w:numPr>
          <w:ilvl w:val="0"/>
          <w:numId w:val="0"/>
        </w:numPr>
        <w:ind w:left="480"/>
        <w:jc w:val="center"/>
        <w:rPr>
          <w:rFonts w:ascii="宋体" w:hAnsi="宋体" w:cs="宋体"/>
        </w:rPr>
      </w:pPr>
      <w:r>
        <w:rPr>
          <w:rFonts w:hint="eastAsia" w:ascii="宋体" w:hAnsi="宋体" w:cs="宋体"/>
        </w:rPr>
        <w:t>第一部分项目概况</w:t>
      </w:r>
    </w:p>
    <w:p>
      <w:pPr>
        <w:spacing w:line="360" w:lineRule="auto"/>
        <w:rPr>
          <w:rFonts w:ascii="宋体" w:hAnsi="宋体" w:cs="宋体"/>
          <w:sz w:val="24"/>
        </w:rPr>
      </w:pPr>
      <w:r>
        <w:rPr>
          <w:rFonts w:hint="eastAsia" w:ascii="宋体" w:hAnsi="宋体" w:cs="宋体"/>
          <w:sz w:val="24"/>
        </w:rPr>
        <w:t>1. 项目名称：机加工工艺数据设计开发与应用研究。</w:t>
      </w:r>
    </w:p>
    <w:p>
      <w:pPr>
        <w:spacing w:line="360" w:lineRule="auto"/>
        <w:rPr>
          <w:rFonts w:ascii="宋体" w:hAnsi="宋体" w:cs="宋体"/>
          <w:sz w:val="24"/>
        </w:rPr>
      </w:pPr>
      <w:r>
        <w:rPr>
          <w:rFonts w:hint="eastAsia" w:ascii="宋体" w:hAnsi="宋体" w:cs="宋体"/>
          <w:sz w:val="24"/>
        </w:rPr>
        <w:t>2. 数量：1套。</w:t>
      </w:r>
    </w:p>
    <w:p>
      <w:pPr>
        <w:tabs>
          <w:tab w:val="left" w:pos="10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3. 服务周</w:t>
      </w:r>
      <w:r>
        <w:rPr>
          <w:rFonts w:hint="eastAsia" w:ascii="宋体" w:hAnsi="宋体" w:cs="宋体"/>
          <w:color w:val="000000" w:themeColor="text1"/>
          <w:sz w:val="24"/>
          <w14:textFill>
            <w14:solidFill>
              <w14:schemeClr w14:val="tx1"/>
            </w14:solidFill>
          </w14:textFill>
        </w:rPr>
        <w:t>期及付款方式：</w:t>
      </w:r>
    </w:p>
    <w:p>
      <w:pPr>
        <w:tabs>
          <w:tab w:val="left" w:pos="10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服务周期：至2026年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p>
    <w:p>
      <w:pPr>
        <w:tabs>
          <w:tab w:val="left" w:pos="1080"/>
          <w:tab w:val="left" w:pos="8280"/>
        </w:tabs>
        <w:suppressAutoHyphens/>
        <w:spacing w:line="360" w:lineRule="auto"/>
        <w:rPr>
          <w:rFonts w:ascii="宋体" w:hAnsi="宋体" w:cs="宋体"/>
          <w:sz w:val="24"/>
        </w:rPr>
      </w:pPr>
      <w:r>
        <w:rPr>
          <w:rFonts w:hint="eastAsia" w:ascii="宋体" w:hAnsi="宋体" w:cs="宋体"/>
          <w:sz w:val="24"/>
        </w:rPr>
        <w:t>3.2 付款方式:</w:t>
      </w:r>
    </w:p>
    <w:p>
      <w:pPr>
        <w:tabs>
          <w:tab w:val="left" w:pos="1080"/>
          <w:tab w:val="left" w:pos="8280"/>
        </w:tabs>
        <w:suppressAutoHyphens/>
        <w:spacing w:line="360" w:lineRule="auto"/>
        <w:ind w:firstLine="600" w:firstLineChars="250"/>
        <w:rPr>
          <w:rFonts w:ascii="宋体" w:hAnsi="宋体" w:cs="宋体"/>
          <w:sz w:val="24"/>
        </w:rPr>
      </w:pPr>
      <w:r>
        <w:rPr>
          <w:rFonts w:hint="eastAsia" w:ascii="宋体" w:hAnsi="宋体" w:cs="宋体"/>
          <w:sz w:val="24"/>
        </w:rPr>
        <w:t>3.2.1 合同签订生效后，预付合同总额的30%；</w:t>
      </w:r>
    </w:p>
    <w:p>
      <w:pPr>
        <w:tabs>
          <w:tab w:val="left" w:pos="1080"/>
          <w:tab w:val="left" w:pos="8280"/>
        </w:tabs>
        <w:suppressAutoHyphens/>
        <w:spacing w:line="360" w:lineRule="auto"/>
        <w:ind w:firstLine="600" w:firstLineChars="250"/>
        <w:rPr>
          <w:rFonts w:ascii="宋体" w:hAnsi="宋体" w:cs="宋体"/>
          <w:sz w:val="24"/>
        </w:rPr>
      </w:pPr>
      <w:r>
        <w:rPr>
          <w:rFonts w:hint="eastAsia" w:ascii="宋体" w:hAnsi="宋体" w:cs="宋体"/>
          <w:sz w:val="24"/>
        </w:rPr>
        <w:t>3.2.2 项目通过中期评审后支付合同总额的30%；</w:t>
      </w:r>
    </w:p>
    <w:p>
      <w:pPr>
        <w:tabs>
          <w:tab w:val="left" w:pos="1080"/>
          <w:tab w:val="left" w:pos="8280"/>
        </w:tabs>
        <w:suppressAutoHyphens/>
        <w:spacing w:line="360" w:lineRule="auto"/>
        <w:ind w:firstLine="600" w:firstLineChars="250"/>
        <w:rPr>
          <w:rFonts w:ascii="宋体" w:hAnsi="宋体" w:cs="宋体"/>
          <w:sz w:val="24"/>
        </w:rPr>
      </w:pPr>
      <w:r>
        <w:rPr>
          <w:rFonts w:hint="eastAsia" w:ascii="宋体" w:hAnsi="宋体" w:cs="宋体"/>
          <w:sz w:val="24"/>
        </w:rPr>
        <w:t>3.2.3 项目通过最终验收后付合同总额的40%。</w:t>
      </w:r>
    </w:p>
    <w:p>
      <w:pPr>
        <w:tabs>
          <w:tab w:val="left" w:pos="360"/>
        </w:tabs>
        <w:spacing w:line="360" w:lineRule="auto"/>
        <w:rPr>
          <w:rFonts w:ascii="宋体" w:hAnsi="宋体" w:cs="宋体"/>
          <w:bCs/>
          <w:sz w:val="24"/>
        </w:rPr>
      </w:pPr>
      <w:r>
        <w:rPr>
          <w:rFonts w:hint="eastAsia" w:ascii="宋体" w:hAnsi="宋体" w:cs="宋体"/>
          <w:sz w:val="24"/>
        </w:rPr>
        <w:t>4. 报价方式：</w:t>
      </w:r>
      <w:r>
        <w:rPr>
          <w:rFonts w:hint="eastAsia" w:ascii="宋体" w:hAnsi="宋体" w:cs="宋体"/>
          <w:bCs/>
          <w:kern w:val="0"/>
          <w:sz w:val="24"/>
        </w:rPr>
        <w:t>招标方现场价</w:t>
      </w:r>
      <w:r>
        <w:rPr>
          <w:rFonts w:hint="eastAsia" w:ascii="宋体" w:hAnsi="宋体" w:cs="宋体"/>
          <w:bCs/>
          <w:sz w:val="24"/>
        </w:rPr>
        <w:t>(包括一切税费，材料费和外协费等)。</w:t>
      </w:r>
    </w:p>
    <w:p>
      <w:pPr>
        <w:tabs>
          <w:tab w:val="left" w:pos="360"/>
        </w:tabs>
        <w:spacing w:line="360" w:lineRule="auto"/>
        <w:rPr>
          <w:rFonts w:ascii="宋体" w:hAnsi="宋体" w:cs="宋体"/>
          <w:sz w:val="24"/>
        </w:rPr>
      </w:pPr>
      <w:r>
        <w:rPr>
          <w:rFonts w:hint="eastAsia" w:ascii="宋体" w:hAnsi="宋体" w:cs="宋体"/>
          <w:sz w:val="24"/>
        </w:rPr>
        <w:t>5. 招标方：中国航发航空科技股份有限公司。</w:t>
      </w:r>
    </w:p>
    <w:p>
      <w:pPr>
        <w:tabs>
          <w:tab w:val="left" w:pos="360"/>
        </w:tabs>
        <w:spacing w:line="360" w:lineRule="auto"/>
        <w:rPr>
          <w:rFonts w:ascii="宋体" w:hAnsi="宋体" w:cs="宋体"/>
          <w:sz w:val="24"/>
        </w:rPr>
      </w:pPr>
      <w:r>
        <w:rPr>
          <w:rFonts w:hint="eastAsia" w:ascii="宋体" w:hAnsi="宋体" w:cs="宋体"/>
          <w:sz w:val="24"/>
        </w:rPr>
        <w:t>6. 验收地点：</w:t>
      </w:r>
      <w:r>
        <w:rPr>
          <w:rFonts w:hint="eastAsia" w:ascii="宋体" w:hAnsi="宋体" w:cs="宋体"/>
          <w:bCs/>
          <w:sz w:val="24"/>
        </w:rPr>
        <w:t>四川省成都市新都区蜀龙大道南段成发工业园。</w:t>
      </w:r>
    </w:p>
    <w:p>
      <w:pPr>
        <w:tabs>
          <w:tab w:val="left" w:pos="360"/>
        </w:tabs>
        <w:spacing w:line="360" w:lineRule="auto"/>
        <w:rPr>
          <w:rFonts w:ascii="宋体" w:hAnsi="宋体" w:cs="宋体"/>
          <w:kern w:val="0"/>
          <w:sz w:val="24"/>
        </w:rPr>
      </w:pPr>
      <w:r>
        <w:rPr>
          <w:rFonts w:hint="eastAsia" w:ascii="宋体" w:hAnsi="宋体" w:cs="宋体"/>
          <w:sz w:val="24"/>
        </w:rPr>
        <w:t xml:space="preserve">7. </w:t>
      </w:r>
      <w:r>
        <w:rPr>
          <w:rFonts w:hint="eastAsia" w:ascii="宋体" w:hAnsi="宋体" w:cs="宋体"/>
          <w:kern w:val="0"/>
          <w:sz w:val="24"/>
        </w:rPr>
        <w:t>项目技术要求：</w:t>
      </w:r>
    </w:p>
    <w:p>
      <w:pPr>
        <w:tabs>
          <w:tab w:val="left" w:pos="360"/>
        </w:tabs>
        <w:spacing w:line="360" w:lineRule="auto"/>
        <w:rPr>
          <w:rFonts w:ascii="宋体" w:hAnsi="宋体" w:cs="宋体"/>
          <w:sz w:val="24"/>
        </w:rPr>
      </w:pPr>
      <w:r>
        <w:rPr>
          <w:rFonts w:hint="eastAsia" w:ascii="宋体" w:hAnsi="宋体" w:cs="宋体"/>
          <w:sz w:val="24"/>
        </w:rPr>
        <w:t xml:space="preserve">    详见第三部分。</w:t>
      </w:r>
    </w:p>
    <w:p>
      <w:pPr>
        <w:tabs>
          <w:tab w:val="left" w:pos="360"/>
        </w:tabs>
        <w:spacing w:line="360" w:lineRule="auto"/>
        <w:rPr>
          <w:rFonts w:ascii="宋体" w:hAnsi="宋体" w:cs="宋体"/>
          <w:sz w:val="24"/>
        </w:rPr>
      </w:pPr>
      <w:bookmarkStart w:id="0" w:name="_Toc271909893"/>
      <w:bookmarkStart w:id="1" w:name="_Toc257218680"/>
      <w:r>
        <w:rPr>
          <w:rFonts w:hint="eastAsia" w:ascii="宋体" w:hAnsi="宋体" w:cs="宋体"/>
          <w:sz w:val="24"/>
        </w:rPr>
        <w:t>8. 询比价文件的获取</w:t>
      </w:r>
      <w:bookmarkEnd w:id="0"/>
      <w:bookmarkEnd w:id="1"/>
      <w:r>
        <w:rPr>
          <w:rFonts w:hint="eastAsia" w:ascii="宋体" w:hAnsi="宋体" w:cs="宋体"/>
          <w:sz w:val="24"/>
        </w:rPr>
        <w:t>：从中国航发航空科技股份有限公司官网获取询比价文件。</w:t>
      </w:r>
    </w:p>
    <w:p>
      <w:pPr>
        <w:tabs>
          <w:tab w:val="left" w:pos="360"/>
        </w:tabs>
        <w:spacing w:line="360" w:lineRule="auto"/>
        <w:rPr>
          <w:rFonts w:ascii="宋体" w:hAnsi="宋体" w:cs="宋体"/>
          <w:sz w:val="24"/>
        </w:rPr>
      </w:pPr>
      <w:r>
        <w:rPr>
          <w:rFonts w:hint="eastAsia" w:ascii="宋体" w:hAnsi="宋体" w:cs="宋体"/>
          <w:sz w:val="24"/>
        </w:rPr>
        <w:t xml:space="preserve">9. 招标文件的递交：递交截止时间与询比价报价截止时间相同。 </w:t>
      </w:r>
      <w:r>
        <w:rPr>
          <w:rFonts w:hint="eastAsia" w:ascii="宋体" w:hAnsi="宋体" w:cs="宋体"/>
          <w:sz w:val="24"/>
        </w:rPr>
        <w:br w:type="textWrapping"/>
      </w:r>
      <w:r>
        <w:rPr>
          <w:rFonts w:hint="eastAsia" w:ascii="宋体" w:hAnsi="宋体" w:cs="宋体"/>
          <w:sz w:val="24"/>
        </w:rPr>
        <w:t>10. 招标文件递交地点：四川省成都市新都区蜀龙大道南段成发工业园。</w:t>
      </w:r>
      <w:r>
        <w:rPr>
          <w:rFonts w:hint="eastAsia" w:ascii="宋体" w:hAnsi="宋体" w:cs="宋体"/>
          <w:sz w:val="24"/>
        </w:rPr>
        <w:br w:type="textWrapping"/>
      </w:r>
      <w:r>
        <w:rPr>
          <w:rFonts w:hint="eastAsia" w:ascii="宋体" w:hAnsi="宋体" w:cs="宋体"/>
          <w:sz w:val="24"/>
        </w:rPr>
        <w:t>11. 询比价地点：四川省成都市新都区蜀龙大道南段成发工业园。</w:t>
      </w:r>
    </w:p>
    <w:p>
      <w:pPr>
        <w:pStyle w:val="2"/>
        <w:numPr>
          <w:ilvl w:val="0"/>
          <w:numId w:val="0"/>
        </w:numPr>
        <w:ind w:left="480"/>
        <w:jc w:val="center"/>
      </w:pPr>
      <w:r>
        <w:rPr>
          <w:rFonts w:ascii="黑体" w:hAnsi="宋体" w:eastAsia="黑体"/>
          <w:sz w:val="32"/>
        </w:rPr>
        <w:br w:type="page"/>
      </w:r>
      <w:r>
        <w:rPr>
          <w:rFonts w:hint="eastAsia"/>
        </w:rPr>
        <w:t>第二部分总体要求</w:t>
      </w:r>
    </w:p>
    <w:p>
      <w:pPr>
        <w:spacing w:line="480" w:lineRule="exac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要求：</w:t>
      </w:r>
    </w:p>
    <w:p>
      <w:pPr>
        <w:numPr>
          <w:ilvl w:val="0"/>
          <w:numId w:val="4"/>
        </w:numPr>
        <w:spacing w:line="480" w:lineRule="exact"/>
        <w:ind w:hanging="245"/>
        <w:rPr>
          <w:rFonts w:ascii="宋体" w:hAnsi="宋体"/>
          <w:sz w:val="24"/>
        </w:rPr>
      </w:pPr>
      <w:r>
        <w:rPr>
          <w:rFonts w:hint="eastAsia" w:ascii="宋体" w:hAnsi="宋体"/>
          <w:sz w:val="24"/>
        </w:rPr>
        <w:t>按照项目概况和技术要求询比价。</w:t>
      </w:r>
    </w:p>
    <w:p>
      <w:pPr>
        <w:numPr>
          <w:ilvl w:val="0"/>
          <w:numId w:val="4"/>
        </w:numPr>
        <w:spacing w:line="480" w:lineRule="exact"/>
        <w:ind w:hanging="245"/>
        <w:rPr>
          <w:rFonts w:ascii="宋体" w:hAnsi="宋体"/>
          <w:sz w:val="24"/>
        </w:rPr>
      </w:pPr>
      <w:r>
        <w:rPr>
          <w:rFonts w:hint="eastAsia" w:ascii="宋体" w:hAnsi="宋体"/>
          <w:sz w:val="24"/>
        </w:rPr>
        <w:t>询比价项目参与人须承认投标文件的合理与合法性，遵守本次询比价的程序和要求，履行投标文件中询比价项目参与人的各项义务。</w:t>
      </w:r>
    </w:p>
    <w:p>
      <w:pPr>
        <w:numPr>
          <w:ilvl w:val="0"/>
          <w:numId w:val="4"/>
        </w:numPr>
        <w:spacing w:line="480" w:lineRule="exact"/>
        <w:ind w:hanging="245"/>
        <w:rPr>
          <w:rFonts w:ascii="宋体" w:hAnsi="宋体"/>
          <w:sz w:val="24"/>
        </w:rPr>
      </w:pPr>
      <w:r>
        <w:rPr>
          <w:rFonts w:hint="eastAsia"/>
          <w:sz w:val="24"/>
        </w:rPr>
        <w:t>潜在</w:t>
      </w:r>
      <w:r>
        <w:rPr>
          <w:rFonts w:hint="eastAsia" w:ascii="宋体" w:hAnsi="宋体"/>
          <w:sz w:val="24"/>
        </w:rPr>
        <w:t>询比价项目参与人</w:t>
      </w:r>
      <w:r>
        <w:rPr>
          <w:rFonts w:hint="eastAsia"/>
          <w:sz w:val="24"/>
        </w:rPr>
        <w:t>或者其他利害关系人对</w:t>
      </w:r>
      <w:r>
        <w:rPr>
          <w:rFonts w:hint="eastAsia" w:ascii="宋体" w:hAnsi="宋体"/>
          <w:sz w:val="24"/>
        </w:rPr>
        <w:t>投标文件</w:t>
      </w:r>
      <w:r>
        <w:rPr>
          <w:rFonts w:hint="eastAsia"/>
          <w:sz w:val="24"/>
        </w:rPr>
        <w:t>有异议的，应当在</w:t>
      </w:r>
      <w:r>
        <w:rPr>
          <w:rFonts w:hint="eastAsia" w:ascii="宋体" w:hAnsi="宋体"/>
          <w:sz w:val="24"/>
        </w:rPr>
        <w:t>询比价截止时间</w:t>
      </w:r>
      <w:r>
        <w:rPr>
          <w:rFonts w:hint="eastAsia"/>
          <w:sz w:val="24"/>
        </w:rPr>
        <w:t>2日前</w:t>
      </w:r>
      <w:r>
        <w:rPr>
          <w:rFonts w:hint="eastAsia" w:ascii="宋体" w:hAnsi="宋体"/>
          <w:color w:val="000000" w:themeColor="text1"/>
          <w:sz w:val="24"/>
          <w14:textFill>
            <w14:solidFill>
              <w14:schemeClr w14:val="tx1"/>
            </w14:solidFill>
          </w14:textFill>
        </w:rPr>
        <w:t>通过向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直接送达或发传真（加盖公章）的方式</w:t>
      </w:r>
      <w:r>
        <w:rPr>
          <w:rFonts w:hint="eastAsia"/>
          <w:sz w:val="24"/>
        </w:rPr>
        <w:t>正式提出，</w:t>
      </w:r>
      <w:r>
        <w:rPr>
          <w:rFonts w:hint="eastAsia" w:ascii="宋体" w:hAnsi="宋体"/>
          <w:color w:val="000000" w:themeColor="text1"/>
          <w:sz w:val="24"/>
          <w14:textFill>
            <w14:solidFill>
              <w14:schemeClr w14:val="tx1"/>
            </w14:solidFill>
          </w14:textFill>
        </w:rPr>
        <w:t>对此时间之后</w:t>
      </w:r>
      <w:r>
        <w:rPr>
          <w:rFonts w:hint="eastAsia" w:ascii="宋体" w:hAnsi="宋体"/>
          <w:sz w:val="24"/>
        </w:rPr>
        <w:t>询比价申请人</w:t>
      </w:r>
      <w:r>
        <w:rPr>
          <w:rFonts w:hint="eastAsia" w:ascii="宋体" w:hAnsi="宋体"/>
          <w:color w:val="000000" w:themeColor="text1"/>
          <w:sz w:val="24"/>
          <w14:textFill>
            <w14:solidFill>
              <w14:schemeClr w14:val="tx1"/>
            </w14:solidFill>
          </w14:textFill>
        </w:rPr>
        <w:t>提出的质疑，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有权不予接收且不承担回复的义务。</w:t>
      </w:r>
      <w:r>
        <w:rPr>
          <w:rFonts w:hint="eastAsia"/>
          <w:sz w:val="24"/>
        </w:rPr>
        <w:t>如未正式提出则视同认可本投标文件相关条款要求。</w:t>
      </w:r>
    </w:p>
    <w:p>
      <w:pPr>
        <w:numPr>
          <w:ilvl w:val="0"/>
          <w:numId w:val="4"/>
        </w:numPr>
        <w:spacing w:line="480" w:lineRule="exact"/>
        <w:ind w:hanging="24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本项目实行在</w:t>
      </w:r>
      <w:r>
        <w:rPr>
          <w:rFonts w:hint="eastAsia" w:ascii="宋体" w:hAnsi="宋体"/>
          <w:sz w:val="24"/>
        </w:rPr>
        <w:t>招标方现场询比价</w:t>
      </w:r>
      <w:r>
        <w:rPr>
          <w:rFonts w:hint="eastAsia" w:ascii="宋体" w:hAnsi="宋体"/>
          <w:color w:val="000000" w:themeColor="text1"/>
          <w:sz w:val="24"/>
          <w14:textFill>
            <w14:solidFill>
              <w14:schemeClr w14:val="tx1"/>
            </w14:solidFill>
          </w14:textFill>
        </w:rPr>
        <w:t>。唱标结束后，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对响应文件进行评审。评审结束后，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所有成员集中与有效投标人分别进行</w:t>
      </w:r>
      <w:r>
        <w:rPr>
          <w:rFonts w:hint="eastAsia" w:ascii="宋体" w:hAnsi="宋体"/>
          <w:sz w:val="24"/>
        </w:rPr>
        <w:t>询比价</w:t>
      </w:r>
      <w:r>
        <w:rPr>
          <w:rFonts w:hint="eastAsia" w:ascii="宋体" w:hAnsi="宋体"/>
          <w:color w:val="000000" w:themeColor="text1"/>
          <w:sz w:val="24"/>
          <w14:textFill>
            <w14:solidFill>
              <w14:schemeClr w14:val="tx1"/>
            </w14:solidFill>
          </w14:textFill>
        </w:rPr>
        <w:t>，确定最终价格。（若待推荐的中选单位最终报价超过投资计划，可对待推荐的中选单位进行再次谈价）</w:t>
      </w:r>
    </w:p>
    <w:p>
      <w:pPr>
        <w:numPr>
          <w:ilvl w:val="0"/>
          <w:numId w:val="4"/>
        </w:numPr>
        <w:tabs>
          <w:tab w:val="left" w:pos="540"/>
        </w:tabs>
        <w:spacing w:line="420" w:lineRule="exact"/>
        <w:ind w:hanging="240"/>
        <w:rPr>
          <w:rFonts w:ascii="宋体" w:hAnsi="宋体"/>
          <w:sz w:val="24"/>
        </w:rPr>
      </w:pPr>
      <w:r>
        <w:rPr>
          <w:rFonts w:hint="eastAsia" w:ascii="宋体" w:hAnsi="宋体"/>
          <w:sz w:val="24"/>
        </w:rPr>
        <w:t>投标文件</w:t>
      </w:r>
      <w:r>
        <w:rPr>
          <w:rFonts w:hint="eastAsia" w:ascii="宋体" w:hAnsi="宋体"/>
          <w:kern w:val="10"/>
          <w:sz w:val="24"/>
        </w:rPr>
        <w:t>正本一份，副本三份，每份投标文件上要明确注明“正本”或“副本”字样。</w:t>
      </w:r>
      <w:r>
        <w:rPr>
          <w:rFonts w:hint="eastAsia" w:ascii="宋体" w:hAnsi="宋体"/>
          <w:sz w:val="24"/>
        </w:rPr>
        <w:t>投标文件</w:t>
      </w:r>
      <w:r>
        <w:rPr>
          <w:rFonts w:hint="eastAsia" w:ascii="宋体" w:hAnsi="宋体"/>
          <w:kern w:val="10"/>
          <w:sz w:val="24"/>
        </w:rPr>
        <w:t>应包含下述文件：</w:t>
      </w:r>
    </w:p>
    <w:tbl>
      <w:tblPr>
        <w:tblStyle w:val="28"/>
        <w:tblW w:w="90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720"/>
        <w:gridCol w:w="8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83"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rPr>
            </w:pPr>
            <w:r>
              <w:rPr>
                <w:rFonts w:hint="eastAsia" w:ascii="宋体" w:hAnsi="宋体" w:cs="宋体"/>
              </w:rPr>
              <w:t>序号</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rPr>
            </w:pPr>
            <w:r>
              <w:rPr>
                <w:rFonts w:hint="eastAsia" w:ascii="宋体" w:hAnsi="宋体" w:cs="宋体"/>
              </w:rPr>
              <w:t>投标文件内容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rPr>
              <w:t>询比价书</w:t>
            </w:r>
            <w:r>
              <w:rPr>
                <w:rFonts w:hint="eastAsia" w:ascii="宋体" w:hAnsi="宋体" w:cs="宋体"/>
                <w:spacing w:val="10"/>
              </w:rPr>
              <w:t>(第四</w:t>
            </w:r>
            <w:r>
              <w:rPr>
                <w:rFonts w:hint="eastAsia" w:ascii="宋体" w:hAnsi="宋体" w:cs="宋体"/>
              </w:rPr>
              <w:t>部分</w:t>
            </w:r>
            <w:r>
              <w:rPr>
                <w:rFonts w:hint="eastAsia" w:ascii="宋体" w:hAnsi="宋体" w:cs="宋体"/>
                <w:spacing w:val="10"/>
              </w:rPr>
              <w:t>附件1)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spacing w:val="10"/>
              </w:rPr>
              <w:t>开标一览表(第四</w:t>
            </w:r>
            <w:r>
              <w:rPr>
                <w:rFonts w:hint="eastAsia" w:ascii="宋体" w:hAnsi="宋体" w:cs="宋体"/>
              </w:rPr>
              <w:t>部分</w:t>
            </w:r>
            <w:r>
              <w:rPr>
                <w:rFonts w:hint="eastAsia" w:ascii="宋体" w:hAnsi="宋体" w:cs="宋体"/>
                <w:spacing w:val="10"/>
              </w:rPr>
              <w:t>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3</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pacing w:val="10"/>
              </w:rPr>
            </w:pPr>
            <w:r>
              <w:rPr>
                <w:rFonts w:hint="eastAsia" w:ascii="宋体" w:hAnsi="宋体" w:cs="宋体"/>
                <w:spacing w:val="10"/>
              </w:rPr>
              <w:t>项目简表(第四部分附件3)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4</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pacing w:val="10"/>
              </w:rPr>
            </w:pPr>
            <w:r>
              <w:rPr>
                <w:rFonts w:hint="eastAsia" w:ascii="宋体" w:hAnsi="宋体" w:cs="宋体"/>
                <w:spacing w:val="10"/>
              </w:rPr>
              <w:t>报价表 (第四部分附件4)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spacing w:val="10"/>
              </w:rPr>
              <w:t>中国航发航空科技股份有限公司项目报价说明书（第四部分附件5）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spacing w:val="10"/>
              </w:rPr>
              <w:t>项目简要说明一览表(第四</w:t>
            </w:r>
            <w:r>
              <w:rPr>
                <w:rFonts w:hint="eastAsia" w:ascii="宋体" w:hAnsi="宋体" w:cs="宋体"/>
              </w:rPr>
              <w:t>部分</w:t>
            </w:r>
            <w:r>
              <w:rPr>
                <w:rFonts w:hint="eastAsia" w:ascii="宋体" w:hAnsi="宋体" w:cs="宋体"/>
                <w:spacing w:val="10"/>
              </w:rPr>
              <w:t>附件6)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rPr>
              <w:t>商务条款偏离表</w:t>
            </w:r>
            <w:r>
              <w:rPr>
                <w:rFonts w:hint="eastAsia" w:ascii="宋体" w:hAnsi="宋体" w:cs="宋体"/>
                <w:spacing w:val="10"/>
              </w:rPr>
              <w:t>(第四</w:t>
            </w:r>
            <w:r>
              <w:rPr>
                <w:rFonts w:hint="eastAsia" w:ascii="宋体" w:hAnsi="宋体" w:cs="宋体"/>
              </w:rPr>
              <w:t>部分</w:t>
            </w:r>
            <w:r>
              <w:rPr>
                <w:rFonts w:hint="eastAsia" w:ascii="宋体" w:hAnsi="宋体" w:cs="宋体"/>
                <w:spacing w:val="10"/>
              </w:rPr>
              <w:t>附件7)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8</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技术规格偏离表(第四部分附件8)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*9</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中国航发航空科技股份有限公司项目技术研究方案申报书(第四部分附件9)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10</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法定代表人授权证书(第四部分附件10-1)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询比价项目参与人的单位简介、经营状况 (第四部分附件10-2)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6"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询比价项目参与人授权代表身份证复印件(第四部分附件11)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13</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加盖询比价项目参与人公章的询比价项目参与人营业执照副本复印件。(第四部分附件12)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3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*14</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与询比价项目及服务有关的业绩表(第四部分附件13)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spacing w:val="10"/>
              </w:rPr>
              <w:t>售后服务情况(第四</w:t>
            </w:r>
            <w:r>
              <w:rPr>
                <w:rFonts w:hint="eastAsia" w:ascii="宋体" w:hAnsi="宋体" w:cs="宋体"/>
              </w:rPr>
              <w:t>部分</w:t>
            </w:r>
            <w:r>
              <w:rPr>
                <w:rFonts w:hint="eastAsia" w:ascii="宋体" w:hAnsi="宋体" w:cs="宋体"/>
                <w:spacing w:val="10"/>
              </w:rPr>
              <w:t>附件14)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spacing w:val="10"/>
              </w:rPr>
            </w:pPr>
            <w:r>
              <w:rPr>
                <w:rFonts w:hint="eastAsia" w:ascii="宋体" w:hAnsi="宋体" w:cs="宋体"/>
                <w:spacing w:val="10"/>
              </w:rPr>
              <w:t>其它需要说明的情况(第四</w:t>
            </w:r>
            <w:r>
              <w:rPr>
                <w:rFonts w:hint="eastAsia" w:ascii="宋体" w:hAnsi="宋体" w:cs="宋体"/>
              </w:rPr>
              <w:t>部分</w:t>
            </w:r>
            <w:r>
              <w:rPr>
                <w:rFonts w:hint="eastAsia" w:ascii="宋体" w:hAnsi="宋体" w:cs="宋体"/>
                <w:spacing w:val="10"/>
              </w:rPr>
              <w:t>附件15)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ascii="宋体" w:hAnsi="宋体" w:cs="宋体"/>
                <w:spacing w:val="10"/>
              </w:rPr>
            </w:pPr>
            <w:r>
              <w:rPr>
                <w:rFonts w:hint="eastAsia" w:ascii="宋体" w:hAnsi="宋体" w:cs="宋体"/>
                <w:spacing w:val="10"/>
              </w:rPr>
              <w:t>*17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cs="宋体"/>
              </w:rPr>
            </w:pPr>
            <w:r>
              <w:rPr>
                <w:rFonts w:hint="eastAsia" w:ascii="宋体" w:hAnsi="宋体" w:cs="宋体"/>
              </w:rPr>
              <w:t>有下列情况之一者投标文件无效：</w:t>
            </w:r>
          </w:p>
          <w:p>
            <w:pPr>
              <w:spacing w:line="320" w:lineRule="atLeast"/>
              <w:rPr>
                <w:rFonts w:ascii="宋体" w:hAnsi="宋体" w:cs="宋体"/>
              </w:rPr>
            </w:pPr>
            <w:r>
              <w:rPr>
                <w:rFonts w:hint="eastAsia" w:ascii="宋体" w:hAnsi="宋体" w:cs="宋体"/>
              </w:rPr>
              <w:t>16.1商务上有下列情况之一者:</w:t>
            </w:r>
          </w:p>
          <w:p>
            <w:pPr>
              <w:numPr>
                <w:ilvl w:val="0"/>
                <w:numId w:val="5"/>
              </w:numPr>
              <w:spacing w:line="320" w:lineRule="atLeast"/>
              <w:rPr>
                <w:rFonts w:ascii="宋体" w:hAnsi="宋体" w:cs="宋体"/>
                <w:spacing w:val="10"/>
              </w:rPr>
            </w:pPr>
            <w:r>
              <w:rPr>
                <w:rFonts w:hint="eastAsia" w:ascii="宋体" w:hAnsi="宋体" w:cs="宋体"/>
              </w:rPr>
              <w:t>询比价项目参与人的投标文件、资格证明未提供或不符合询比价文件要求的；</w:t>
            </w:r>
          </w:p>
          <w:p>
            <w:pPr>
              <w:numPr>
                <w:ilvl w:val="0"/>
                <w:numId w:val="5"/>
              </w:numPr>
              <w:spacing w:line="320" w:lineRule="atLeast"/>
              <w:rPr>
                <w:rFonts w:ascii="宋体" w:hAnsi="宋体" w:cs="宋体"/>
                <w:spacing w:val="10"/>
              </w:rPr>
            </w:pPr>
            <w:r>
              <w:rPr>
                <w:rFonts w:hint="eastAsia" w:ascii="宋体" w:hAnsi="宋体" w:cs="宋体"/>
              </w:rPr>
              <w:t>投标文件无法定代表人签字，或签字人无法定代表人有效授权书的；</w:t>
            </w:r>
          </w:p>
          <w:p>
            <w:pPr>
              <w:spacing w:line="320" w:lineRule="atLeast"/>
              <w:rPr>
                <w:rFonts w:ascii="宋体" w:hAnsi="宋体" w:cs="宋体"/>
              </w:rPr>
            </w:pPr>
            <w:r>
              <w:rPr>
                <w:rFonts w:hint="eastAsia" w:ascii="宋体" w:hAnsi="宋体" w:cs="宋体"/>
              </w:rPr>
              <w:t>16.2有下列情况之一者:</w:t>
            </w:r>
          </w:p>
          <w:p>
            <w:pPr>
              <w:numPr>
                <w:ilvl w:val="0"/>
                <w:numId w:val="6"/>
              </w:numPr>
              <w:spacing w:line="320" w:lineRule="atLeast"/>
              <w:rPr>
                <w:rFonts w:ascii="宋体" w:hAnsi="宋体" w:cs="宋体"/>
              </w:rPr>
            </w:pPr>
            <w:r>
              <w:rPr>
                <w:rFonts w:hint="eastAsia" w:ascii="宋体" w:hAnsi="宋体" w:cs="宋体"/>
              </w:rPr>
              <w:t>投标文件未按规定密封者；</w:t>
            </w:r>
          </w:p>
          <w:p>
            <w:pPr>
              <w:numPr>
                <w:ilvl w:val="0"/>
                <w:numId w:val="6"/>
              </w:numPr>
              <w:spacing w:line="320" w:lineRule="atLeast"/>
              <w:rPr>
                <w:rFonts w:ascii="宋体" w:hAnsi="宋体" w:cs="宋体"/>
                <w:spacing w:val="10"/>
              </w:rPr>
            </w:pPr>
            <w:r>
              <w:rPr>
                <w:rFonts w:hint="eastAsia" w:ascii="宋体" w:hAnsi="宋体" w:cs="宋体"/>
              </w:rPr>
              <w:t>投标文件未按“第四部分文件要求”的内容和格式编制，或内容不全、字迹模糊难以辨认者；</w:t>
            </w:r>
          </w:p>
          <w:p>
            <w:pPr>
              <w:numPr>
                <w:ilvl w:val="0"/>
                <w:numId w:val="6"/>
              </w:numPr>
              <w:spacing w:line="320" w:lineRule="atLeast"/>
              <w:rPr>
                <w:rFonts w:ascii="宋体" w:hAnsi="宋体" w:cs="宋体"/>
                <w:spacing w:val="10"/>
              </w:rPr>
            </w:pPr>
            <w:r>
              <w:rPr>
                <w:rFonts w:hint="eastAsia" w:ascii="宋体" w:hAnsi="宋体" w:cs="宋体"/>
              </w:rPr>
              <w:t>投标文件逾期未送达者；</w:t>
            </w:r>
          </w:p>
        </w:tc>
      </w:tr>
    </w:tbl>
    <w:p>
      <w:pPr>
        <w:spacing w:line="420" w:lineRule="exact"/>
        <w:ind w:left="420"/>
        <w:rPr>
          <w:rFonts w:ascii="宋体" w:hAnsi="宋体"/>
          <w:sz w:val="24"/>
        </w:rPr>
      </w:pPr>
    </w:p>
    <w:p>
      <w:pPr>
        <w:numPr>
          <w:ilvl w:val="0"/>
          <w:numId w:val="4"/>
        </w:numPr>
        <w:spacing w:line="480" w:lineRule="exact"/>
        <w:ind w:hanging="245"/>
        <w:rPr>
          <w:rFonts w:ascii="宋体" w:hAnsi="宋体"/>
          <w:sz w:val="24"/>
        </w:rPr>
      </w:pPr>
      <w:r>
        <w:rPr>
          <w:rFonts w:hint="eastAsia" w:ascii="宋体" w:hAnsi="宋体"/>
          <w:sz w:val="24"/>
        </w:rPr>
        <w:t>投标文件的密封和标记</w:t>
      </w:r>
    </w:p>
    <w:p>
      <w:pPr>
        <w:spacing w:line="480" w:lineRule="exact"/>
        <w:ind w:firstLine="420" w:firstLineChars="0"/>
        <w:rPr>
          <w:rFonts w:ascii="宋体" w:hAnsi="宋体"/>
          <w:sz w:val="24"/>
        </w:rPr>
      </w:pPr>
      <w:r>
        <w:rPr>
          <w:rFonts w:hint="eastAsia" w:ascii="宋体" w:hAnsi="宋体"/>
          <w:sz w:val="24"/>
        </w:rPr>
        <w:t>询比价项目参与人应将投标文件正本和副本袋内密封，并在密封处加盖有效</w:t>
      </w:r>
      <w:r>
        <w:rPr>
          <w:rFonts w:hint="eastAsia" w:ascii="宋体" w:hAnsi="宋体"/>
          <w:sz w:val="24"/>
          <w:lang w:val="en-US" w:eastAsia="zh-CN"/>
        </w:rPr>
        <w:tab/>
      </w:r>
      <w:r>
        <w:rPr>
          <w:rFonts w:hint="eastAsia" w:ascii="宋体" w:hAnsi="宋体"/>
          <w:sz w:val="24"/>
        </w:rPr>
        <w:t>印章或授权委托人签字。</w:t>
      </w:r>
    </w:p>
    <w:p>
      <w:pPr>
        <w:numPr>
          <w:ilvl w:val="0"/>
          <w:numId w:val="4"/>
        </w:numPr>
        <w:spacing w:line="480" w:lineRule="exact"/>
        <w:ind w:hanging="245"/>
        <w:rPr>
          <w:rFonts w:ascii="宋体" w:hAnsi="宋体"/>
          <w:sz w:val="24"/>
        </w:rPr>
      </w:pPr>
      <w:r>
        <w:rPr>
          <w:rFonts w:hint="eastAsia" w:ascii="宋体" w:hAnsi="宋体"/>
          <w:sz w:val="24"/>
        </w:rPr>
        <w:t>投标文件必须胶装并标注页码，正本规定的盖章处为鲜章，副本可以是正本的复印件。</w:t>
      </w:r>
    </w:p>
    <w:p>
      <w:pPr>
        <w:numPr>
          <w:ilvl w:val="0"/>
          <w:numId w:val="4"/>
        </w:numPr>
        <w:spacing w:line="480" w:lineRule="exact"/>
        <w:ind w:hanging="245"/>
        <w:rPr>
          <w:rFonts w:ascii="宋体" w:hAnsi="宋体"/>
          <w:sz w:val="24"/>
        </w:rPr>
      </w:pPr>
      <w:r>
        <w:rPr>
          <w:rFonts w:hint="eastAsia" w:ascii="宋体" w:hAnsi="宋体"/>
          <w:sz w:val="24"/>
        </w:rPr>
        <w:t>招标方</w:t>
      </w:r>
      <w:r>
        <w:rPr>
          <w:rFonts w:ascii="宋体" w:hAnsi="宋体"/>
          <w:sz w:val="24"/>
        </w:rPr>
        <w:t>在任何时候发现询比价项目参与人提供虚假资料的，有权</w:t>
      </w:r>
      <w:r>
        <w:rPr>
          <w:rFonts w:hint="eastAsia" w:ascii="宋体" w:hAnsi="宋体"/>
          <w:sz w:val="24"/>
        </w:rPr>
        <w:t>对询比价项目参与人进行废标、解除合同，并可</w:t>
      </w:r>
      <w:r>
        <w:rPr>
          <w:rFonts w:ascii="宋体" w:hAnsi="宋体"/>
          <w:sz w:val="24"/>
        </w:rPr>
        <w:t>依法追究询比价项目参与人的责任。</w:t>
      </w:r>
    </w:p>
    <w:p>
      <w:pPr>
        <w:numPr>
          <w:ilvl w:val="0"/>
          <w:numId w:val="4"/>
        </w:numPr>
        <w:spacing w:line="480" w:lineRule="exact"/>
        <w:ind w:hanging="245"/>
        <w:rPr>
          <w:rFonts w:ascii="宋体" w:hAnsi="宋体"/>
          <w:sz w:val="24"/>
        </w:rPr>
      </w:pPr>
      <w:r>
        <w:rPr>
          <w:rFonts w:hint="eastAsia" w:ascii="宋体" w:hAnsi="宋体"/>
          <w:sz w:val="24"/>
        </w:rPr>
        <w:t>投标文件按投标文件内容中要求的文件顺序装订，为按顺序装订视为未响应。</w:t>
      </w:r>
    </w:p>
    <w:p>
      <w:pPr>
        <w:spacing w:line="480" w:lineRule="exact"/>
        <w:jc w:val="left"/>
        <w:rPr>
          <w:rFonts w:ascii="宋体" w:hAnsi="宋体"/>
          <w:sz w:val="24"/>
        </w:rPr>
      </w:pPr>
      <w:r>
        <w:rPr>
          <w:rFonts w:hint="eastAsia" w:ascii="宋体" w:hAnsi="宋体"/>
          <w:sz w:val="24"/>
        </w:rPr>
        <w:t>二．询比价资格文件</w:t>
      </w:r>
    </w:p>
    <w:p>
      <w:pPr>
        <w:spacing w:line="480" w:lineRule="exact"/>
        <w:ind w:left="422" w:leftChars="201" w:firstLine="425"/>
        <w:jc w:val="left"/>
        <w:rPr>
          <w:rFonts w:ascii="宋体" w:hAnsi="宋体"/>
          <w:sz w:val="24"/>
        </w:rPr>
      </w:pPr>
      <w:r>
        <w:rPr>
          <w:rFonts w:hint="eastAsia" w:ascii="宋体" w:hAnsi="宋体"/>
          <w:sz w:val="24"/>
        </w:rPr>
        <w:t>询比价项目参与人</w:t>
      </w:r>
      <w:r>
        <w:rPr>
          <w:rFonts w:hint="eastAsia"/>
          <w:sz w:val="24"/>
        </w:rPr>
        <w:t>必须提交证明其有资格进行</w:t>
      </w:r>
      <w:r>
        <w:rPr>
          <w:rFonts w:hint="eastAsia" w:ascii="宋体" w:hAnsi="宋体"/>
          <w:sz w:val="24"/>
        </w:rPr>
        <w:t>询比价</w:t>
      </w:r>
      <w:r>
        <w:rPr>
          <w:rFonts w:hint="eastAsia"/>
          <w:sz w:val="24"/>
        </w:rPr>
        <w:t>和有能力履行合同的文件，作为</w:t>
      </w:r>
      <w:r>
        <w:rPr>
          <w:rFonts w:hint="eastAsia" w:ascii="宋体" w:hAnsi="宋体"/>
          <w:sz w:val="24"/>
        </w:rPr>
        <w:t>投标文件</w:t>
      </w:r>
      <w:r>
        <w:rPr>
          <w:rFonts w:hint="eastAsia"/>
          <w:sz w:val="24"/>
        </w:rPr>
        <w:t>的一部分，并对下面要求做出响应：</w:t>
      </w:r>
    </w:p>
    <w:p>
      <w:pPr>
        <w:numPr>
          <w:ilvl w:val="0"/>
          <w:numId w:val="7"/>
        </w:numPr>
        <w:spacing w:line="480" w:lineRule="exact"/>
        <w:jc w:val="left"/>
        <w:rPr>
          <w:rFonts w:ascii="宋体" w:hAnsi="宋体"/>
          <w:sz w:val="24"/>
        </w:rPr>
      </w:pPr>
      <w:r>
        <w:rPr>
          <w:rFonts w:hint="eastAsia" w:ascii="宋体" w:hAnsi="宋体"/>
          <w:sz w:val="24"/>
        </w:rPr>
        <w:t>询比价项目参与人的单位简介、经营状况等；</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询比价项目参与人的营业执照或事业单位法人证书；</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询比价项目参与人的法定代表人授权书原件；</w:t>
      </w:r>
    </w:p>
    <w:p>
      <w:pPr>
        <w:numPr>
          <w:ilvl w:val="0"/>
          <w:numId w:val="7"/>
        </w:numPr>
        <w:spacing w:line="480" w:lineRule="exact"/>
        <w:jc w:val="left"/>
        <w:rPr>
          <w:rFonts w:ascii="宋体" w:hAnsi="宋体"/>
          <w:sz w:val="24"/>
        </w:rPr>
      </w:pPr>
      <w:r>
        <w:rPr>
          <w:rFonts w:hint="eastAsia" w:ascii="宋体" w:hAnsi="宋体"/>
          <w:sz w:val="24"/>
        </w:rPr>
        <w:t>询比价项目参与人业绩证明材料（近三年来与招标内容相关性的课题或合同，及课题或合同验收证明）；</w:t>
      </w:r>
    </w:p>
    <w:p>
      <w:pPr>
        <w:numPr>
          <w:ilvl w:val="0"/>
          <w:numId w:val="7"/>
        </w:numPr>
        <w:spacing w:line="480" w:lineRule="exact"/>
        <w:jc w:val="left"/>
        <w:rPr>
          <w:rFonts w:ascii="宋体" w:hAnsi="宋体"/>
          <w:sz w:val="24"/>
        </w:rPr>
      </w:pPr>
      <w:r>
        <w:rPr>
          <w:rFonts w:hint="eastAsia" w:ascii="宋体" w:hAnsi="宋体"/>
          <w:sz w:val="24"/>
        </w:rPr>
        <w:t>询比价项目参与人质量保证体系（若询比价项目参与方为高校，可不提供）；</w:t>
      </w:r>
    </w:p>
    <w:p>
      <w:pPr>
        <w:numPr>
          <w:ilvl w:val="0"/>
          <w:numId w:val="7"/>
        </w:numPr>
        <w:spacing w:line="480" w:lineRule="exact"/>
        <w:jc w:val="left"/>
        <w:rPr>
          <w:rFonts w:ascii="宋体" w:hAnsi="宋体"/>
          <w:sz w:val="24"/>
        </w:rPr>
      </w:pPr>
      <w:r>
        <w:rPr>
          <w:rFonts w:hint="eastAsia" w:ascii="宋体" w:hAnsi="宋体"/>
          <w:sz w:val="24"/>
        </w:rPr>
        <w:t>询比价项目参与人应有履行投标文件中合同条款和技术要求规定的由投标方履行的技术服务的能力；</w:t>
      </w:r>
    </w:p>
    <w:p>
      <w:pPr>
        <w:numPr>
          <w:ilvl w:val="0"/>
          <w:numId w:val="7"/>
        </w:numPr>
        <w:spacing w:line="480" w:lineRule="exact"/>
        <w:jc w:val="left"/>
        <w:rPr>
          <w:rFonts w:ascii="宋体" w:hAnsi="宋体"/>
          <w:sz w:val="24"/>
        </w:rPr>
      </w:pPr>
      <w:r>
        <w:rPr>
          <w:rFonts w:hint="eastAsia" w:ascii="宋体" w:hAnsi="宋体"/>
          <w:sz w:val="24"/>
        </w:rPr>
        <w:t>询比价项目技术研究方案等技术资料；</w:t>
      </w:r>
    </w:p>
    <w:p>
      <w:pPr>
        <w:numPr>
          <w:ilvl w:val="0"/>
          <w:numId w:val="7"/>
        </w:numPr>
        <w:spacing w:line="480" w:lineRule="exact"/>
        <w:jc w:val="left"/>
        <w:rPr>
          <w:rFonts w:ascii="宋体" w:hAnsi="宋体"/>
          <w:sz w:val="24"/>
        </w:rPr>
      </w:pPr>
      <w:r>
        <w:rPr>
          <w:rFonts w:hint="eastAsia" w:ascii="宋体" w:hAnsi="宋体"/>
          <w:sz w:val="24"/>
        </w:rPr>
        <w:t>如询比价项目参与人不是招标方合格供应商，参与询比价项目后中标，招标方需在签订合同之前对询比价项目参与人进行公司合格供应商录入审核，审核通过后方可签订合同；若审核未通过，招标方有权取消询比价项目参与人的中标结果，不予签订合同。</w:t>
      </w:r>
    </w:p>
    <w:p>
      <w:pPr>
        <w:spacing w:line="480" w:lineRule="exact"/>
        <w:rPr>
          <w:sz w:val="24"/>
        </w:rPr>
      </w:pPr>
      <w:r>
        <w:rPr>
          <w:rFonts w:hint="eastAsia"/>
          <w:sz w:val="24"/>
        </w:rPr>
        <w:t>三</w:t>
      </w:r>
      <w:r>
        <w:rPr>
          <w:rFonts w:hint="eastAsia" w:ascii="宋体" w:hAnsi="宋体"/>
          <w:sz w:val="24"/>
        </w:rPr>
        <w:t>．</w:t>
      </w:r>
      <w:r>
        <w:rPr>
          <w:rFonts w:hint="eastAsia"/>
          <w:sz w:val="24"/>
        </w:rPr>
        <w:t>询比价</w:t>
      </w:r>
    </w:p>
    <w:p>
      <w:pPr>
        <w:spacing w:line="480" w:lineRule="exact"/>
        <w:rPr>
          <w:sz w:val="24"/>
        </w:rPr>
      </w:pPr>
      <w:r>
        <w:rPr>
          <w:rFonts w:hint="eastAsia"/>
          <w:sz w:val="24"/>
        </w:rPr>
        <w:t xml:space="preserve">     a. 招标方在询比价规定的时间和地点公开询比价，询比价项目参与人派代表参加。</w:t>
      </w:r>
    </w:p>
    <w:p>
      <w:pPr>
        <w:spacing w:line="480" w:lineRule="exact"/>
        <w:rPr>
          <w:sz w:val="24"/>
        </w:rPr>
      </w:pPr>
      <w:r>
        <w:rPr>
          <w:rFonts w:hint="eastAsia"/>
          <w:sz w:val="24"/>
        </w:rPr>
        <w:t xml:space="preserve">     b. 询比价时，查验投标文件密封情况，确认无误后拆封唱标，唱正本“开标一览表”内容，以及招标方认为合适的其它内容并记录。</w:t>
      </w:r>
    </w:p>
    <w:p>
      <w:pPr>
        <w:spacing w:line="480" w:lineRule="exact"/>
        <w:rPr>
          <w:sz w:val="24"/>
        </w:rPr>
      </w:pPr>
      <w:r>
        <w:rPr>
          <w:rFonts w:hint="eastAsia"/>
          <w:sz w:val="24"/>
        </w:rPr>
        <w:t xml:space="preserve">     c. 招标方将根据询比价采购项目的特点组建询比价小组，询比价小组对投标文件进行审查、质疑评估和比较。</w:t>
      </w:r>
    </w:p>
    <w:p>
      <w:pPr>
        <w:spacing w:line="480" w:lineRule="exact"/>
        <w:rPr>
          <w:rFonts w:ascii="宋体" w:hAnsi="宋体"/>
          <w:sz w:val="24"/>
        </w:rPr>
      </w:pPr>
      <w:r>
        <w:rPr>
          <w:rFonts w:hint="eastAsia" w:ascii="宋体" w:hAnsi="宋体"/>
          <w:sz w:val="24"/>
        </w:rPr>
        <w:t>四．评标和定标</w:t>
      </w:r>
    </w:p>
    <w:p>
      <w:pPr>
        <w:spacing w:line="480" w:lineRule="exact"/>
        <w:ind w:left="236"/>
        <w:rPr>
          <w:rFonts w:ascii="宋体" w:hAnsi="宋体"/>
          <w:sz w:val="24"/>
        </w:rPr>
      </w:pPr>
      <w:r>
        <w:rPr>
          <w:rFonts w:hint="eastAsia" w:ascii="宋体" w:hAnsi="宋体"/>
          <w:sz w:val="24"/>
        </w:rPr>
        <w:t>1. 公平、公正、科学、择优；</w:t>
      </w:r>
    </w:p>
    <w:p>
      <w:pPr>
        <w:spacing w:line="480" w:lineRule="exact"/>
        <w:ind w:firstLine="240" w:firstLineChars="100"/>
        <w:rPr>
          <w:rFonts w:ascii="宋体" w:hAnsi="宋体"/>
          <w:sz w:val="24"/>
        </w:rPr>
      </w:pPr>
      <w:r>
        <w:rPr>
          <w:rFonts w:hint="eastAsia" w:ascii="宋体" w:hAnsi="宋体"/>
          <w:sz w:val="24"/>
        </w:rPr>
        <w:t>2. 评标小组将对投标文件进行综合评定；</w:t>
      </w:r>
    </w:p>
    <w:p>
      <w:pPr>
        <w:tabs>
          <w:tab w:val="left" w:pos="1440"/>
        </w:tabs>
        <w:spacing w:line="480" w:lineRule="exact"/>
        <w:ind w:left="719" w:leftChars="114" w:hanging="480" w:hangingChars="200"/>
        <w:rPr>
          <w:rFonts w:ascii="宋体" w:hAnsi="宋体"/>
          <w:color w:val="FF0000"/>
          <w:sz w:val="24"/>
        </w:rPr>
      </w:pPr>
      <w:r>
        <w:rPr>
          <w:rFonts w:hint="eastAsia" w:ascii="宋体" w:hAnsi="宋体"/>
          <w:sz w:val="24"/>
        </w:rPr>
        <w:t>(1) 投标文件中带“*”的指标为重要指标，超过1项（含1项）不满足或未响应，为废标；其他非“*”号技术指标超过3项（含3项）不满足或未响应，为废标；非“*”号商务指标超过3项（含3项）不满足或未响应，为废标；技术指标和商务指标一共超过4项（含4项）不满足或未响应，为废标。</w:t>
      </w:r>
    </w:p>
    <w:p>
      <w:pPr>
        <w:tabs>
          <w:tab w:val="left" w:pos="1440"/>
        </w:tabs>
        <w:spacing w:line="480" w:lineRule="exact"/>
        <w:ind w:left="719" w:leftChars="114" w:hanging="480" w:hangingChars="200"/>
        <w:rPr>
          <w:rFonts w:ascii="宋体" w:hAnsi="宋体"/>
          <w:sz w:val="24"/>
        </w:rPr>
      </w:pPr>
      <w:r>
        <w:rPr>
          <w:rFonts w:hint="eastAsia" w:ascii="宋体" w:hAnsi="宋体"/>
          <w:sz w:val="24"/>
        </w:rPr>
        <w:t xml:space="preserve">(2) </w:t>
      </w:r>
      <w:r>
        <w:rPr>
          <w:rFonts w:hint="eastAsia"/>
          <w:sz w:val="24"/>
        </w:rPr>
        <w:t>除非询比价文件中另有规定，只允许询比价项目参与人有一个询比价方案，否则，其投标将被拒绝。如果投标文件中规定允许有备选方案，询比价项目参与人必须说明主选方案，询比价时仅对主选方案评议。如果询比价项目参与人未说明主选方案，其询比价将被拒绝。</w:t>
      </w:r>
    </w:p>
    <w:p>
      <w:pPr>
        <w:spacing w:line="480" w:lineRule="exact"/>
        <w:ind w:left="719" w:leftChars="114" w:hanging="480" w:hangingChars="200"/>
        <w:rPr>
          <w:rFonts w:ascii="宋体" w:hAnsi="宋体"/>
          <w:sz w:val="24"/>
        </w:rPr>
      </w:pPr>
      <w:r>
        <w:rPr>
          <w:rFonts w:hint="eastAsia" w:ascii="宋体" w:hAnsi="宋体"/>
          <w:sz w:val="24"/>
        </w:rPr>
        <w:t xml:space="preserve">(3) </w:t>
      </w:r>
      <w:r>
        <w:rPr>
          <w:rFonts w:hint="eastAsia"/>
          <w:sz w:val="24"/>
        </w:rPr>
        <w:t>按询比价文件技术部分要求应随机配置的内容应计入询比价总价的项目，其报价均应计入询比价总价。若有漏报或未按要求报价的项目，评标时将有效投标中该项内容的最高价计入其评标总价。而询比价项目参与人不能针对其缺漏项增加询比价总价，否则将导致废标。</w:t>
      </w:r>
    </w:p>
    <w:p>
      <w:pPr>
        <w:spacing w:line="480" w:lineRule="exact"/>
        <w:ind w:left="719" w:leftChars="114" w:hanging="480" w:hangingChars="200"/>
        <w:rPr>
          <w:rFonts w:ascii="宋体" w:hAnsi="宋体"/>
          <w:sz w:val="24"/>
        </w:rPr>
      </w:pPr>
      <w:r>
        <w:rPr>
          <w:rFonts w:hint="eastAsia" w:ascii="宋体" w:hAnsi="宋体"/>
          <w:sz w:val="24"/>
        </w:rPr>
        <w:t xml:space="preserve">(4) </w:t>
      </w:r>
      <w:r>
        <w:rPr>
          <w:rFonts w:hint="eastAsia"/>
          <w:sz w:val="24"/>
        </w:rPr>
        <w:t>询比价项目参与人在投标文件的询比价总价中不得包含询比价文件要求以外的项目，否则在评标时不予核减。</w:t>
      </w:r>
    </w:p>
    <w:p>
      <w:pPr>
        <w:spacing w:line="480" w:lineRule="exact"/>
        <w:ind w:left="236"/>
        <w:rPr>
          <w:rFonts w:ascii="宋体" w:hAnsi="宋体"/>
          <w:sz w:val="24"/>
        </w:rPr>
      </w:pPr>
      <w:r>
        <w:rPr>
          <w:rFonts w:hint="eastAsia" w:ascii="宋体" w:hAnsi="宋体"/>
          <w:sz w:val="24"/>
        </w:rPr>
        <w:t>3.</w:t>
      </w:r>
      <w:r>
        <w:rPr>
          <w:rFonts w:hint="eastAsia"/>
          <w:sz w:val="24"/>
        </w:rPr>
        <w:t>询比价办法</w:t>
      </w:r>
      <w:r>
        <w:rPr>
          <w:rFonts w:hint="eastAsia" w:ascii="宋体" w:hAnsi="宋体"/>
          <w:sz w:val="24"/>
        </w:rPr>
        <w:t>（综合评估法）：</w:t>
      </w:r>
    </w:p>
    <w:p>
      <w:pPr>
        <w:spacing w:line="480" w:lineRule="exact"/>
        <w:ind w:left="120" w:leftChars="57" w:firstLine="480" w:firstLineChars="200"/>
        <w:rPr>
          <w:sz w:val="24"/>
        </w:rPr>
      </w:pPr>
      <w:r>
        <w:rPr>
          <w:rFonts w:hint="eastAsia"/>
          <w:sz w:val="24"/>
        </w:rPr>
        <w:t>形式评审标准要求：询比价项目参与人名称应与营业执照或事业单位法人证书、资质证书一致；投标文件签字应有有法定代表人（单位负责人）或其委托代理人签字或加盖单位公章，由法定代表人（单位负责人）签字的，应附法定代表人（单位负责人）身份证明，由代理人签字的，应附授权委托书等。</w:t>
      </w:r>
    </w:p>
    <w:p>
      <w:pPr>
        <w:spacing w:line="480" w:lineRule="exact"/>
        <w:ind w:left="120" w:leftChars="57" w:firstLine="480" w:firstLineChars="200"/>
        <w:rPr>
          <w:sz w:val="24"/>
        </w:rPr>
      </w:pPr>
      <w:r>
        <w:rPr>
          <w:rFonts w:hint="eastAsia"/>
          <w:sz w:val="24"/>
        </w:rPr>
        <w:t>资格评审要求：营业执照或事业单位法人证书和组织机构代码证、资质、财务、业绩等应符合询比价资格文件要求。</w:t>
      </w:r>
    </w:p>
    <w:p>
      <w:pPr>
        <w:spacing w:line="480" w:lineRule="exact"/>
        <w:ind w:left="120" w:leftChars="57" w:firstLine="480" w:firstLineChars="200"/>
        <w:rPr>
          <w:sz w:val="24"/>
        </w:rPr>
      </w:pPr>
      <w:r>
        <w:rPr>
          <w:sz w:val="24"/>
        </w:rPr>
        <w:t>本次</w:t>
      </w:r>
      <w:r>
        <w:rPr>
          <w:rFonts w:hint="eastAsia"/>
          <w:sz w:val="24"/>
        </w:rPr>
        <w:t>询比价采用综合评估法，投标文件应符合形式评审标准要求和资格评审要求，询比价小组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107"/>
        <w:gridCol w:w="2712"/>
        <w:gridCol w:w="4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629" w:type="dxa"/>
            <w:gridSpan w:val="2"/>
            <w:vMerge w:val="restart"/>
            <w:vAlign w:val="center"/>
          </w:tcPr>
          <w:p>
            <w:pPr>
              <w:jc w:val="center"/>
              <w:rPr>
                <w:rFonts w:ascii="宋体" w:hAnsi="宋体" w:cs="宋体"/>
              </w:rPr>
            </w:pPr>
            <w:r>
              <w:rPr>
                <w:rFonts w:hint="eastAsia" w:ascii="宋体" w:hAnsi="宋体" w:cs="宋体"/>
              </w:rPr>
              <w:t>条款号</w:t>
            </w:r>
          </w:p>
        </w:tc>
        <w:tc>
          <w:tcPr>
            <w:tcW w:w="2712" w:type="dxa"/>
            <w:vMerge w:val="restart"/>
            <w:vAlign w:val="center"/>
          </w:tcPr>
          <w:p>
            <w:pPr>
              <w:jc w:val="center"/>
              <w:rPr>
                <w:rFonts w:ascii="宋体" w:hAnsi="宋体" w:cs="宋体"/>
              </w:rPr>
            </w:pPr>
            <w:r>
              <w:rPr>
                <w:rFonts w:hint="eastAsia" w:ascii="宋体" w:hAnsi="宋体" w:cs="宋体"/>
              </w:rPr>
              <w:t>评分因素（偏差率）</w:t>
            </w:r>
          </w:p>
        </w:tc>
        <w:tc>
          <w:tcPr>
            <w:tcW w:w="4187" w:type="dxa"/>
            <w:vMerge w:val="restart"/>
            <w:vAlign w:val="center"/>
          </w:tcPr>
          <w:p>
            <w:pPr>
              <w:jc w:val="center"/>
              <w:rPr>
                <w:rFonts w:ascii="宋体" w:hAnsi="宋体" w:cs="宋体"/>
              </w:rPr>
            </w:pPr>
            <w:r>
              <w:rPr>
                <w:rFonts w:hint="eastAsia" w:ascii="宋体" w:hAnsi="宋体" w:cs="宋体"/>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629" w:type="dxa"/>
            <w:gridSpan w:val="2"/>
            <w:vMerge w:val="continue"/>
          </w:tcPr>
          <w:p>
            <w:pPr>
              <w:rPr>
                <w:rFonts w:ascii="宋体" w:hAnsi="宋体" w:cs="宋体"/>
              </w:rPr>
            </w:pPr>
          </w:p>
        </w:tc>
        <w:tc>
          <w:tcPr>
            <w:tcW w:w="2712" w:type="dxa"/>
            <w:vMerge w:val="continue"/>
          </w:tcPr>
          <w:p>
            <w:pPr>
              <w:rPr>
                <w:rFonts w:ascii="宋体" w:hAnsi="宋体" w:cs="宋体"/>
              </w:rPr>
            </w:pPr>
          </w:p>
        </w:tc>
        <w:tc>
          <w:tcPr>
            <w:tcW w:w="4187" w:type="dxa"/>
            <w:vMerge w:val="continue"/>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restart"/>
            <w:vAlign w:val="center"/>
          </w:tcPr>
          <w:p>
            <w:pPr>
              <w:jc w:val="center"/>
              <w:rPr>
                <w:rFonts w:ascii="宋体" w:hAnsi="宋体" w:cs="宋体"/>
              </w:rPr>
            </w:pPr>
            <w:r>
              <w:rPr>
                <w:rFonts w:hint="eastAsia" w:ascii="宋体" w:hAnsi="宋体" w:cs="宋体"/>
              </w:rPr>
              <w:t>1</w:t>
            </w:r>
          </w:p>
        </w:tc>
        <w:tc>
          <w:tcPr>
            <w:tcW w:w="1107" w:type="dxa"/>
            <w:vMerge w:val="restart"/>
          </w:tcPr>
          <w:p>
            <w:pPr>
              <w:jc w:val="center"/>
              <w:rPr>
                <w:rFonts w:ascii="宋体" w:hAnsi="宋体" w:cs="宋体"/>
              </w:rPr>
            </w:pPr>
            <w:r>
              <w:rPr>
                <w:rFonts w:hint="eastAsia" w:ascii="宋体" w:hAnsi="宋体" w:cs="宋体"/>
              </w:rPr>
              <w:t>商</w:t>
            </w:r>
          </w:p>
          <w:p>
            <w:pPr>
              <w:jc w:val="center"/>
              <w:rPr>
                <w:rFonts w:ascii="宋体" w:hAnsi="宋体" w:cs="宋体"/>
              </w:rPr>
            </w:pPr>
            <w:r>
              <w:rPr>
                <w:rFonts w:hint="eastAsia" w:ascii="宋体" w:hAnsi="宋体" w:cs="宋体"/>
              </w:rPr>
              <w:t>务</w:t>
            </w:r>
          </w:p>
          <w:p>
            <w:pPr>
              <w:jc w:val="center"/>
              <w:rPr>
                <w:rFonts w:ascii="宋体" w:hAnsi="宋体" w:cs="宋体"/>
              </w:rPr>
            </w:pPr>
            <w:r>
              <w:rPr>
                <w:rFonts w:hint="eastAsia" w:ascii="宋体" w:hAnsi="宋体" w:cs="宋体"/>
              </w:rPr>
              <w:t>评</w:t>
            </w:r>
          </w:p>
          <w:p>
            <w:pPr>
              <w:jc w:val="center"/>
              <w:rPr>
                <w:rFonts w:ascii="宋体" w:hAnsi="宋体" w:cs="宋体"/>
              </w:rPr>
            </w:pPr>
            <w:r>
              <w:rPr>
                <w:rFonts w:hint="eastAsia" w:ascii="宋体" w:hAnsi="宋体" w:cs="宋体"/>
              </w:rPr>
              <w:t>分</w:t>
            </w:r>
          </w:p>
          <w:p>
            <w:pPr>
              <w:jc w:val="center"/>
              <w:rPr>
                <w:rFonts w:ascii="宋体" w:hAnsi="宋体" w:cs="宋体"/>
              </w:rPr>
            </w:pPr>
            <w:r>
              <w:rPr>
                <w:rFonts w:hint="eastAsia" w:ascii="宋体" w:hAnsi="宋体" w:cs="宋体"/>
              </w:rPr>
              <w:t>标</w:t>
            </w:r>
          </w:p>
          <w:p>
            <w:pPr>
              <w:jc w:val="center"/>
              <w:rPr>
                <w:rFonts w:ascii="宋体" w:hAnsi="宋体" w:cs="宋体"/>
              </w:rPr>
            </w:pPr>
            <w:r>
              <w:rPr>
                <w:rFonts w:hint="eastAsia" w:ascii="宋体" w:hAnsi="宋体" w:cs="宋体"/>
              </w:rPr>
              <w:t>准</w:t>
            </w:r>
          </w:p>
          <w:p>
            <w:pPr>
              <w:jc w:val="center"/>
              <w:rPr>
                <w:rFonts w:ascii="宋体" w:hAnsi="宋体" w:cs="宋体"/>
              </w:rPr>
            </w:pPr>
            <w:r>
              <w:rPr>
                <w:rFonts w:hint="eastAsia" w:ascii="宋体" w:hAnsi="宋体" w:cs="宋体"/>
              </w:rPr>
              <w:t>（10分）</w:t>
            </w:r>
          </w:p>
        </w:tc>
        <w:tc>
          <w:tcPr>
            <w:tcW w:w="2712" w:type="dxa"/>
            <w:vAlign w:val="center"/>
          </w:tcPr>
          <w:p>
            <w:pPr>
              <w:rPr>
                <w:rFonts w:ascii="宋体" w:hAnsi="宋体" w:cs="宋体"/>
              </w:rPr>
            </w:pPr>
            <w:r>
              <w:rPr>
                <w:rFonts w:hint="eastAsia" w:ascii="宋体" w:hAnsi="宋体" w:cs="宋体"/>
              </w:rPr>
              <w:t>对询比价项目参与人经济状况的评价（3分）</w:t>
            </w:r>
          </w:p>
        </w:tc>
        <w:tc>
          <w:tcPr>
            <w:tcW w:w="4187" w:type="dxa"/>
            <w:vAlign w:val="center"/>
          </w:tcPr>
          <w:p>
            <w:pPr>
              <w:rPr>
                <w:rFonts w:ascii="宋体" w:hAnsi="宋体" w:cs="宋体"/>
              </w:rPr>
            </w:pPr>
            <w:r>
              <w:rPr>
                <w:rFonts w:hint="eastAsia" w:ascii="宋体" w:hAnsi="宋体" w:cs="宋体"/>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continue"/>
            <w:vAlign w:val="center"/>
          </w:tcPr>
          <w:p>
            <w:pPr>
              <w:jc w:val="center"/>
              <w:rPr>
                <w:rFonts w:ascii="宋体" w:hAnsi="宋体" w:cs="宋体"/>
              </w:rPr>
            </w:pPr>
          </w:p>
        </w:tc>
        <w:tc>
          <w:tcPr>
            <w:tcW w:w="1107" w:type="dxa"/>
            <w:vMerge w:val="continue"/>
          </w:tcPr>
          <w:p>
            <w:pPr>
              <w:jc w:val="center"/>
              <w:rPr>
                <w:rFonts w:ascii="宋体" w:hAnsi="宋体" w:cs="宋体"/>
              </w:rPr>
            </w:pPr>
          </w:p>
        </w:tc>
        <w:tc>
          <w:tcPr>
            <w:tcW w:w="2712" w:type="dxa"/>
            <w:vAlign w:val="center"/>
          </w:tcPr>
          <w:p>
            <w:pPr>
              <w:rPr>
                <w:rFonts w:ascii="宋体" w:hAnsi="宋体" w:cs="宋体"/>
              </w:rPr>
            </w:pPr>
            <w:r>
              <w:rPr>
                <w:rFonts w:hint="eastAsia" w:ascii="宋体" w:hAnsi="宋体" w:cs="宋体"/>
              </w:rPr>
              <w:t>对询比价项目参与人信誉度的评价（2分）</w:t>
            </w:r>
          </w:p>
        </w:tc>
        <w:tc>
          <w:tcPr>
            <w:tcW w:w="4187" w:type="dxa"/>
            <w:vAlign w:val="center"/>
          </w:tcPr>
          <w:p>
            <w:pPr>
              <w:rPr>
                <w:rFonts w:ascii="宋体" w:hAnsi="宋体" w:cs="宋体"/>
              </w:rPr>
            </w:pPr>
            <w:r>
              <w:rPr>
                <w:rFonts w:hint="eastAsia" w:ascii="宋体" w:hAnsi="宋体" w:cs="宋体"/>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continue"/>
            <w:vAlign w:val="center"/>
          </w:tcPr>
          <w:p>
            <w:pPr>
              <w:jc w:val="center"/>
              <w:rPr>
                <w:rFonts w:ascii="宋体" w:hAnsi="宋体" w:cs="宋体"/>
              </w:rPr>
            </w:pPr>
          </w:p>
        </w:tc>
        <w:tc>
          <w:tcPr>
            <w:tcW w:w="1107" w:type="dxa"/>
            <w:vMerge w:val="continue"/>
          </w:tcPr>
          <w:p>
            <w:pPr>
              <w:jc w:val="center"/>
              <w:rPr>
                <w:rFonts w:ascii="宋体" w:hAnsi="宋体" w:cs="宋体"/>
              </w:rPr>
            </w:pPr>
          </w:p>
        </w:tc>
        <w:tc>
          <w:tcPr>
            <w:tcW w:w="2712" w:type="dxa"/>
            <w:vAlign w:val="center"/>
          </w:tcPr>
          <w:p>
            <w:pPr>
              <w:rPr>
                <w:rFonts w:ascii="宋体" w:hAnsi="宋体" w:cs="宋体"/>
              </w:rPr>
            </w:pPr>
            <w:r>
              <w:rPr>
                <w:rFonts w:hint="eastAsia" w:ascii="宋体" w:hAnsi="宋体" w:cs="宋体"/>
              </w:rPr>
              <w:t>业绩（5分）</w:t>
            </w:r>
          </w:p>
        </w:tc>
        <w:tc>
          <w:tcPr>
            <w:tcW w:w="4187" w:type="dxa"/>
            <w:vAlign w:val="center"/>
          </w:tcPr>
          <w:p>
            <w:pPr>
              <w:rPr>
                <w:rFonts w:ascii="宋体" w:hAnsi="宋体" w:cs="宋体"/>
              </w:rPr>
            </w:pPr>
            <w:r>
              <w:rPr>
                <w:rFonts w:hint="eastAsia" w:ascii="宋体" w:hAnsi="宋体" w:cs="宋体"/>
              </w:rPr>
              <w:t>根据合同及评选小组所了解的情况排序，排序最高分者得满分，其余依次酌情扣分。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restart"/>
            <w:vAlign w:val="center"/>
          </w:tcPr>
          <w:p>
            <w:pPr>
              <w:jc w:val="center"/>
              <w:rPr>
                <w:rFonts w:ascii="宋体" w:hAnsi="宋体" w:cs="宋体"/>
              </w:rPr>
            </w:pPr>
            <w:r>
              <w:rPr>
                <w:rFonts w:hint="eastAsia" w:ascii="宋体" w:hAnsi="宋体" w:cs="宋体"/>
              </w:rPr>
              <w:t>2</w:t>
            </w:r>
          </w:p>
        </w:tc>
        <w:tc>
          <w:tcPr>
            <w:tcW w:w="1107" w:type="dxa"/>
            <w:vMerge w:val="restart"/>
            <w:vAlign w:val="center"/>
          </w:tcPr>
          <w:p>
            <w:pPr>
              <w:jc w:val="center"/>
              <w:rPr>
                <w:rFonts w:ascii="宋体" w:hAnsi="宋体" w:cs="宋体"/>
              </w:rPr>
            </w:pPr>
            <w:r>
              <w:rPr>
                <w:rFonts w:hint="eastAsia" w:ascii="宋体" w:hAnsi="宋体" w:cs="宋体"/>
              </w:rPr>
              <w:t>技</w:t>
            </w:r>
          </w:p>
          <w:p>
            <w:pPr>
              <w:jc w:val="center"/>
              <w:rPr>
                <w:rFonts w:ascii="宋体" w:hAnsi="宋体" w:cs="宋体"/>
              </w:rPr>
            </w:pPr>
            <w:r>
              <w:rPr>
                <w:rFonts w:hint="eastAsia" w:ascii="宋体" w:hAnsi="宋体" w:cs="宋体"/>
              </w:rPr>
              <w:t>术</w:t>
            </w:r>
          </w:p>
          <w:p>
            <w:pPr>
              <w:jc w:val="center"/>
              <w:rPr>
                <w:rFonts w:ascii="宋体" w:hAnsi="宋体" w:cs="宋体"/>
              </w:rPr>
            </w:pPr>
            <w:r>
              <w:rPr>
                <w:rFonts w:hint="eastAsia" w:ascii="宋体" w:hAnsi="宋体" w:cs="宋体"/>
              </w:rPr>
              <w:t>评</w:t>
            </w:r>
          </w:p>
          <w:p>
            <w:pPr>
              <w:jc w:val="center"/>
              <w:rPr>
                <w:rFonts w:ascii="宋体" w:hAnsi="宋体" w:cs="宋体"/>
              </w:rPr>
            </w:pPr>
            <w:r>
              <w:rPr>
                <w:rFonts w:hint="eastAsia" w:ascii="宋体" w:hAnsi="宋体" w:cs="宋体"/>
              </w:rPr>
              <w:t>分</w:t>
            </w:r>
          </w:p>
          <w:p>
            <w:pPr>
              <w:jc w:val="center"/>
              <w:rPr>
                <w:rFonts w:ascii="宋体" w:hAnsi="宋体" w:cs="宋体"/>
              </w:rPr>
            </w:pPr>
            <w:r>
              <w:rPr>
                <w:rFonts w:hint="eastAsia" w:ascii="宋体" w:hAnsi="宋体" w:cs="宋体"/>
              </w:rPr>
              <w:t>标</w:t>
            </w:r>
          </w:p>
          <w:p>
            <w:pPr>
              <w:jc w:val="center"/>
              <w:rPr>
                <w:rFonts w:ascii="宋体" w:hAnsi="宋体" w:cs="宋体"/>
              </w:rPr>
            </w:pPr>
            <w:r>
              <w:rPr>
                <w:rFonts w:hint="eastAsia" w:ascii="宋体" w:hAnsi="宋体" w:cs="宋体"/>
              </w:rPr>
              <w:t>准</w:t>
            </w:r>
          </w:p>
          <w:p>
            <w:pPr>
              <w:jc w:val="center"/>
              <w:rPr>
                <w:rFonts w:ascii="宋体" w:hAnsi="宋体" w:cs="宋体"/>
              </w:rPr>
            </w:pPr>
            <w:r>
              <w:rPr>
                <w:rFonts w:hint="eastAsia" w:ascii="宋体" w:hAnsi="宋体" w:cs="宋体"/>
              </w:rPr>
              <w:t>（55分）</w:t>
            </w:r>
          </w:p>
        </w:tc>
        <w:tc>
          <w:tcPr>
            <w:tcW w:w="2712" w:type="dxa"/>
            <w:vAlign w:val="center"/>
          </w:tcPr>
          <w:p>
            <w:pPr>
              <w:rPr>
                <w:rFonts w:ascii="宋体" w:hAnsi="宋体" w:cs="宋体"/>
              </w:rPr>
            </w:pPr>
            <w:r>
              <w:rPr>
                <w:rFonts w:hint="eastAsia" w:ascii="宋体" w:hAnsi="宋体" w:cs="宋体"/>
              </w:rPr>
              <w:t>询比价服务方案技术指标响应程度（30分）</w:t>
            </w:r>
          </w:p>
        </w:tc>
        <w:tc>
          <w:tcPr>
            <w:tcW w:w="4187" w:type="dxa"/>
            <w:vAlign w:val="center"/>
          </w:tcPr>
          <w:p>
            <w:pPr>
              <w:rPr>
                <w:rFonts w:ascii="宋体" w:hAnsi="宋体" w:cs="宋体"/>
              </w:rPr>
            </w:pPr>
            <w:r>
              <w:rPr>
                <w:rFonts w:hint="eastAsia" w:ascii="宋体" w:hAnsi="宋体" w:cs="宋体"/>
              </w:rPr>
              <w:t>针对投标文件非*号条款，投标文件中有一项不满足或未响应，扣3分。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22" w:type="dxa"/>
            <w:vMerge w:val="continue"/>
            <w:vAlign w:val="center"/>
          </w:tcPr>
          <w:p>
            <w:pPr>
              <w:jc w:val="center"/>
              <w:rPr>
                <w:rFonts w:ascii="宋体" w:hAnsi="宋体" w:cs="宋体"/>
              </w:rPr>
            </w:pPr>
          </w:p>
        </w:tc>
        <w:tc>
          <w:tcPr>
            <w:tcW w:w="1107" w:type="dxa"/>
            <w:vMerge w:val="continue"/>
            <w:vAlign w:val="center"/>
          </w:tcPr>
          <w:p>
            <w:pPr>
              <w:jc w:val="center"/>
              <w:rPr>
                <w:rFonts w:ascii="宋体" w:hAnsi="宋体" w:cs="宋体"/>
              </w:rPr>
            </w:pPr>
          </w:p>
        </w:tc>
        <w:tc>
          <w:tcPr>
            <w:tcW w:w="2712" w:type="dxa"/>
            <w:vAlign w:val="center"/>
          </w:tcPr>
          <w:p>
            <w:pPr>
              <w:rPr>
                <w:rFonts w:ascii="宋体" w:hAnsi="宋体" w:cs="宋体"/>
              </w:rPr>
            </w:pPr>
            <w:r>
              <w:rPr>
                <w:rFonts w:hint="eastAsia" w:ascii="宋体" w:hAnsi="宋体" w:cs="宋体"/>
              </w:rPr>
              <w:t>询比价技术方案汇报（5分）</w:t>
            </w:r>
          </w:p>
        </w:tc>
        <w:tc>
          <w:tcPr>
            <w:tcW w:w="4187" w:type="dxa"/>
            <w:vAlign w:val="center"/>
          </w:tcPr>
          <w:p>
            <w:pPr>
              <w:rPr>
                <w:rFonts w:ascii="宋体" w:hAnsi="宋体" w:cs="宋体"/>
              </w:rPr>
            </w:pPr>
            <w:r>
              <w:rPr>
                <w:rFonts w:hint="eastAsia" w:ascii="宋体" w:hAnsi="宋体" w:cs="宋体"/>
              </w:rPr>
              <w:t>根据询比价项目参与人技术方案PPT汇报及答疑情况，酌情打分：</w:t>
            </w:r>
          </w:p>
          <w:p>
            <w:pPr>
              <w:rPr>
                <w:rFonts w:ascii="宋体" w:hAnsi="宋体" w:cs="宋体"/>
                <w:szCs w:val="21"/>
              </w:rPr>
            </w:pPr>
            <w:r>
              <w:rPr>
                <w:rFonts w:hint="eastAsia" w:ascii="宋体" w:hAnsi="宋体" w:cs="宋体"/>
                <w:szCs w:val="21"/>
              </w:rPr>
              <w:t>优秀5-4，一般3-2，较差1-0。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continue"/>
            <w:vAlign w:val="center"/>
          </w:tcPr>
          <w:p>
            <w:pPr>
              <w:jc w:val="center"/>
              <w:rPr>
                <w:rFonts w:ascii="宋体" w:hAnsi="宋体" w:cs="宋体"/>
              </w:rPr>
            </w:pPr>
          </w:p>
        </w:tc>
        <w:tc>
          <w:tcPr>
            <w:tcW w:w="1107" w:type="dxa"/>
            <w:vMerge w:val="continue"/>
          </w:tcPr>
          <w:p>
            <w:pPr>
              <w:rPr>
                <w:rFonts w:ascii="宋体" w:hAnsi="宋体" w:cs="宋体"/>
              </w:rPr>
            </w:pPr>
          </w:p>
        </w:tc>
        <w:tc>
          <w:tcPr>
            <w:tcW w:w="2712" w:type="dxa"/>
            <w:vAlign w:val="center"/>
          </w:tcPr>
          <w:p>
            <w:pPr>
              <w:rPr>
                <w:rFonts w:ascii="宋体" w:hAnsi="宋体" w:cs="宋体"/>
              </w:rPr>
            </w:pPr>
            <w:r>
              <w:rPr>
                <w:rFonts w:hint="eastAsia" w:ascii="宋体" w:hAnsi="宋体" w:cs="宋体"/>
              </w:rPr>
              <w:t>对询比价项目参与人技术服务和质保期服务能力的评价（5分）</w:t>
            </w:r>
          </w:p>
        </w:tc>
        <w:tc>
          <w:tcPr>
            <w:tcW w:w="4187" w:type="dxa"/>
            <w:vAlign w:val="center"/>
          </w:tcPr>
          <w:p>
            <w:pPr>
              <w:rPr>
                <w:rFonts w:ascii="宋体" w:hAnsi="宋体" w:cs="宋体"/>
              </w:rPr>
            </w:pPr>
            <w:r>
              <w:rPr>
                <w:rFonts w:hint="eastAsia" w:ascii="宋体" w:hAnsi="宋体" w:cs="宋体"/>
              </w:rPr>
              <w:t>根据投标文件响应程度及询比价小组所了解情况考核，酌情打分：</w:t>
            </w:r>
          </w:p>
          <w:p>
            <w:pPr>
              <w:rPr>
                <w:rFonts w:ascii="宋体" w:hAnsi="宋体" w:cs="宋体"/>
                <w:szCs w:val="21"/>
              </w:rPr>
            </w:pPr>
            <w:r>
              <w:rPr>
                <w:rFonts w:hint="eastAsia" w:ascii="宋体" w:hAnsi="宋体" w:cs="宋体"/>
                <w:szCs w:val="21"/>
              </w:rPr>
              <w:t>优秀5-4，一般3-2，较差1-0。</w:t>
            </w:r>
          </w:p>
          <w:p>
            <w:pPr>
              <w:rPr>
                <w:rFonts w:ascii="宋体" w:hAnsi="宋体" w:cs="宋体"/>
              </w:rPr>
            </w:pPr>
            <w:r>
              <w:rPr>
                <w:rFonts w:hint="eastAsia" w:ascii="宋体" w:hAnsi="宋体" w:cs="宋体"/>
                <w:szCs w:val="21"/>
              </w:rPr>
              <w:t>（其中优秀者项目服务团队成员具有高级职称以上人数不应小于5人，且具有全套的电解加工相关工艺开发能力及组织测试分析能力）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Merge w:val="continue"/>
            <w:vAlign w:val="center"/>
          </w:tcPr>
          <w:p>
            <w:pPr>
              <w:jc w:val="center"/>
              <w:rPr>
                <w:rFonts w:ascii="宋体" w:hAnsi="宋体" w:cs="宋体"/>
              </w:rPr>
            </w:pPr>
          </w:p>
        </w:tc>
        <w:tc>
          <w:tcPr>
            <w:tcW w:w="1107" w:type="dxa"/>
            <w:vMerge w:val="continue"/>
          </w:tcPr>
          <w:p>
            <w:pPr>
              <w:rPr>
                <w:rFonts w:ascii="宋体" w:hAnsi="宋体" w:cs="宋体"/>
              </w:rPr>
            </w:pPr>
          </w:p>
        </w:tc>
        <w:tc>
          <w:tcPr>
            <w:tcW w:w="2712" w:type="dxa"/>
            <w:vAlign w:val="center"/>
          </w:tcPr>
          <w:p>
            <w:pPr>
              <w:rPr>
                <w:rFonts w:ascii="宋体" w:hAnsi="宋体" w:cs="宋体"/>
              </w:rPr>
            </w:pPr>
            <w:r>
              <w:rPr>
                <w:rFonts w:hint="eastAsia" w:ascii="宋体" w:hAnsi="宋体" w:cs="宋体"/>
              </w:rPr>
              <w:t>对技术方案整体评价，优劣程度比较（15分）</w:t>
            </w:r>
          </w:p>
        </w:tc>
        <w:tc>
          <w:tcPr>
            <w:tcW w:w="4187" w:type="dxa"/>
            <w:vAlign w:val="center"/>
          </w:tcPr>
          <w:p>
            <w:pPr>
              <w:adjustRightInd w:val="0"/>
              <w:snapToGrid w:val="0"/>
              <w:rPr>
                <w:rFonts w:ascii="宋体" w:hAnsi="宋体" w:cs="宋体"/>
              </w:rPr>
            </w:pPr>
            <w:r>
              <w:rPr>
                <w:rFonts w:hint="eastAsia" w:ascii="宋体" w:hAnsi="宋体" w:cs="宋体"/>
              </w:rPr>
              <w:t>以技术参数评议为基础，依据询比价及所了解情况，对各询比价项目参与人所投项目的技术方案优劣对照比较评审，评分标准如下：</w:t>
            </w:r>
          </w:p>
          <w:p>
            <w:pPr>
              <w:pStyle w:val="74"/>
              <w:numPr>
                <w:ilvl w:val="0"/>
                <w:numId w:val="8"/>
              </w:numPr>
              <w:adjustRightInd w:val="0"/>
              <w:snapToGrid w:val="0"/>
              <w:ind w:firstLineChars="0"/>
              <w:rPr>
                <w:rFonts w:ascii="宋体" w:hAnsi="宋体" w:cs="宋体"/>
              </w:rPr>
            </w:pPr>
            <w:r>
              <w:rPr>
                <w:rFonts w:hint="eastAsia" w:ascii="宋体" w:hAnsi="宋体" w:cs="宋体"/>
              </w:rPr>
              <w:t>研究目标和研究内容完整性：</w:t>
            </w:r>
            <w:r>
              <w:rPr>
                <w:rFonts w:hint="eastAsia" w:ascii="宋体" w:hAnsi="宋体" w:cs="宋体"/>
                <w:szCs w:val="21"/>
              </w:rPr>
              <w:t>优等5-4分，较好3-2分，一般1分。</w:t>
            </w:r>
          </w:p>
          <w:p>
            <w:pPr>
              <w:pStyle w:val="74"/>
              <w:numPr>
                <w:ilvl w:val="0"/>
                <w:numId w:val="8"/>
              </w:numPr>
              <w:adjustRightInd w:val="0"/>
              <w:snapToGrid w:val="0"/>
              <w:ind w:firstLineChars="0"/>
              <w:rPr>
                <w:rFonts w:ascii="宋体" w:hAnsi="宋体" w:cs="宋体"/>
              </w:rPr>
            </w:pPr>
            <w:r>
              <w:rPr>
                <w:rFonts w:hint="eastAsia" w:ascii="宋体" w:hAnsi="宋体" w:cs="宋体"/>
              </w:rPr>
              <w:t>技术路线和技术创新点合理性：</w:t>
            </w:r>
            <w:r>
              <w:rPr>
                <w:rFonts w:hint="eastAsia" w:ascii="宋体" w:hAnsi="宋体" w:cs="宋体"/>
                <w:szCs w:val="21"/>
              </w:rPr>
              <w:t>优等5-4分，较好3-2分，一般1分。</w:t>
            </w:r>
          </w:p>
          <w:p>
            <w:pPr>
              <w:pStyle w:val="74"/>
              <w:numPr>
                <w:ilvl w:val="0"/>
                <w:numId w:val="8"/>
              </w:numPr>
              <w:adjustRightInd w:val="0"/>
              <w:snapToGrid w:val="0"/>
              <w:ind w:firstLineChars="0"/>
              <w:rPr>
                <w:rFonts w:ascii="宋体" w:hAnsi="宋体" w:cs="宋体"/>
              </w:rPr>
            </w:pPr>
            <w:r>
              <w:rPr>
                <w:rFonts w:hint="eastAsia" w:ascii="宋体" w:hAnsi="宋体" w:cs="宋体"/>
              </w:rPr>
              <w:t>技术方案可行性：</w:t>
            </w:r>
            <w:r>
              <w:rPr>
                <w:rFonts w:hint="eastAsia" w:ascii="宋体" w:hAnsi="宋体" w:cs="宋体"/>
                <w:szCs w:val="21"/>
              </w:rPr>
              <w:t>优等5-4分，较好3-2分，一般1分。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dxa"/>
            <w:vAlign w:val="center"/>
          </w:tcPr>
          <w:p>
            <w:pPr>
              <w:jc w:val="center"/>
              <w:rPr>
                <w:rFonts w:ascii="宋体" w:hAnsi="宋体" w:cs="宋体"/>
              </w:rPr>
            </w:pPr>
            <w:r>
              <w:rPr>
                <w:rFonts w:hint="eastAsia" w:ascii="宋体" w:hAnsi="宋体" w:cs="宋体"/>
              </w:rPr>
              <w:t>3</w:t>
            </w:r>
          </w:p>
        </w:tc>
        <w:tc>
          <w:tcPr>
            <w:tcW w:w="1107" w:type="dxa"/>
            <w:vAlign w:val="center"/>
          </w:tcPr>
          <w:p>
            <w:pPr>
              <w:jc w:val="center"/>
              <w:rPr>
                <w:rFonts w:ascii="宋体" w:hAnsi="宋体" w:cs="宋体"/>
              </w:rPr>
            </w:pPr>
            <w:r>
              <w:rPr>
                <w:rFonts w:hint="eastAsia" w:ascii="宋体" w:hAnsi="宋体" w:cs="宋体"/>
              </w:rPr>
              <w:t>询比价报价（35分）</w:t>
            </w:r>
          </w:p>
        </w:tc>
        <w:tc>
          <w:tcPr>
            <w:tcW w:w="2712" w:type="dxa"/>
            <w:vAlign w:val="center"/>
          </w:tcPr>
          <w:p>
            <w:pPr>
              <w:rPr>
                <w:rFonts w:ascii="宋体" w:hAnsi="宋体" w:cs="宋体"/>
              </w:rPr>
            </w:pPr>
            <w:r>
              <w:rPr>
                <w:rFonts w:hint="eastAsia" w:ascii="宋体" w:hAnsi="宋体" w:cs="宋体"/>
              </w:rPr>
              <w:t>询比价报价（35分）</w:t>
            </w:r>
          </w:p>
        </w:tc>
        <w:tc>
          <w:tcPr>
            <w:tcW w:w="4187" w:type="dxa"/>
            <w:vAlign w:val="center"/>
          </w:tcPr>
          <w:p>
            <w:pPr>
              <w:rPr>
                <w:rFonts w:ascii="宋体" w:hAnsi="宋体" w:cs="宋体"/>
              </w:rPr>
            </w:pPr>
            <w:r>
              <w:rPr>
                <w:rFonts w:hint="eastAsia" w:ascii="宋体" w:hAnsi="宋体" w:cs="宋体"/>
              </w:rPr>
              <w:t>所有投标报价的算术平均值为基准价，每高于基准价5%扣2分，每低于基准价5%扣1分，不足5%的部分按5%计算，等于基准价为35分。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8" w:type="dxa"/>
            <w:gridSpan w:val="4"/>
          </w:tcPr>
          <w:p>
            <w:pPr>
              <w:jc w:val="center"/>
            </w:pPr>
            <w:r>
              <w:rPr>
                <w:rFonts w:hint="eastAsia" w:ascii="宋体" w:hAnsi="宋体" w:cs="宋体"/>
              </w:rPr>
              <w:t>总得分（满分100分）</w:t>
            </w:r>
          </w:p>
        </w:tc>
      </w:tr>
    </w:tbl>
    <w:p>
      <w:pPr>
        <w:spacing w:line="480" w:lineRule="exact"/>
        <w:ind w:firstLine="240" w:firstLineChars="100"/>
        <w:rPr>
          <w:sz w:val="24"/>
        </w:rPr>
      </w:pPr>
      <w:r>
        <w:rPr>
          <w:rFonts w:hint="eastAsia"/>
          <w:sz w:val="24"/>
        </w:rPr>
        <w:t>注：对因形式评审、</w:t>
      </w:r>
      <w:r>
        <w:rPr>
          <w:sz w:val="24"/>
        </w:rPr>
        <w:t>资格评审</w:t>
      </w:r>
      <w:r>
        <w:rPr>
          <w:rFonts w:hint="eastAsia"/>
          <w:sz w:val="24"/>
        </w:rPr>
        <w:t>或技术评审未通过的投标文件作否决处理，不进行打分。</w:t>
      </w:r>
    </w:p>
    <w:p>
      <w:pPr>
        <w:spacing w:line="480" w:lineRule="exact"/>
        <w:ind w:firstLine="240" w:firstLineChars="100"/>
        <w:rPr>
          <w:rFonts w:ascii="宋体" w:hAnsi="宋体"/>
          <w:sz w:val="24"/>
        </w:rPr>
      </w:pPr>
      <w:r>
        <w:rPr>
          <w:rFonts w:hint="eastAsia" w:ascii="宋体" w:hAnsi="宋体"/>
          <w:sz w:val="24"/>
        </w:rPr>
        <w:t>4. 在询比价评标过程中，投标方以PPT（演示文稿）的形式向招标方汇报投标技术方案，每家投标方汇报时长不超过15分钟。每家投标方汇报结束后，由询比价评审小组成员对投标方汇报内容进行质疑和问询，投标方当场进行答疑，问询和答疑时间不超过15分钟。</w:t>
      </w:r>
    </w:p>
    <w:p>
      <w:pPr>
        <w:spacing w:line="480" w:lineRule="exact"/>
        <w:ind w:firstLine="240" w:firstLineChars="100"/>
        <w:rPr>
          <w:rFonts w:ascii="宋体" w:hAnsi="宋体"/>
          <w:sz w:val="24"/>
        </w:rPr>
      </w:pPr>
      <w:r>
        <w:rPr>
          <w:rFonts w:hint="eastAsia" w:ascii="宋体" w:hAnsi="宋体"/>
          <w:sz w:val="24"/>
        </w:rPr>
        <w:t>5. 在询比价过程中，询比价小组对所有投标文件作废标处理的，或者评标小组对一部分投标文件作废标处理后，使得询比价明显缺乏竞争，决定否决全部投标，招标方有权作流标处理。</w:t>
      </w:r>
    </w:p>
    <w:p>
      <w:pPr>
        <w:spacing w:line="480" w:lineRule="exact"/>
        <w:ind w:firstLine="240" w:firstLineChars="1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中标方在收到《中选通知书》后，按招标方指定的时间、地点与招标方签订合同。</w:t>
      </w:r>
    </w:p>
    <w:p>
      <w:pPr>
        <w:widowControl/>
        <w:jc w:val="left"/>
        <w:rPr>
          <w:rFonts w:ascii="宋体" w:hAnsi="宋体"/>
          <w:sz w:val="24"/>
        </w:rPr>
      </w:pPr>
      <w:r>
        <w:rPr>
          <w:rFonts w:ascii="宋体" w:hAnsi="宋体"/>
          <w:sz w:val="24"/>
        </w:rPr>
        <w:br w:type="page"/>
      </w:r>
    </w:p>
    <w:p>
      <w:pPr>
        <w:pStyle w:val="2"/>
        <w:numPr>
          <w:ilvl w:val="0"/>
          <w:numId w:val="0"/>
        </w:numPr>
        <w:ind w:left="-710" w:leftChars="-338"/>
        <w:jc w:val="center"/>
      </w:pPr>
      <w:r>
        <w:rPr>
          <w:rFonts w:hint="eastAsia"/>
        </w:rPr>
        <w:t>第</w:t>
      </w:r>
      <w:r>
        <w:rPr>
          <w:rFonts w:hint="eastAsia"/>
          <w:color w:val="000000" w:themeColor="text1"/>
          <w14:textFill>
            <w14:solidFill>
              <w14:schemeClr w14:val="tx1"/>
            </w14:solidFill>
          </w14:textFill>
        </w:rPr>
        <w:t>三部分   投</w:t>
      </w:r>
      <w:r>
        <w:rPr>
          <w:rFonts w:hint="eastAsia"/>
        </w:rPr>
        <w:t>标文件具体要求</w:t>
      </w:r>
    </w:p>
    <w:p/>
    <w:tbl>
      <w:tblPr>
        <w:tblStyle w:val="28"/>
        <w:tblpPr w:leftFromText="180" w:rightFromText="180" w:vertAnchor="text" w:tblpY="1"/>
        <w:tblOverlap w:val="never"/>
        <w:tblW w:w="9854" w:type="dxa"/>
        <w:tblInd w:w="0" w:type="dxa"/>
        <w:tblLayout w:type="fixed"/>
        <w:tblCellMar>
          <w:top w:w="0" w:type="dxa"/>
          <w:left w:w="108" w:type="dxa"/>
          <w:bottom w:w="0" w:type="dxa"/>
          <w:right w:w="108" w:type="dxa"/>
        </w:tblCellMar>
      </w:tblPr>
      <w:tblGrid>
        <w:gridCol w:w="1242"/>
        <w:gridCol w:w="8612"/>
      </w:tblGrid>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询比价</w:t>
            </w:r>
            <w:r>
              <w:rPr>
                <w:rFonts w:ascii="宋体" w:hAnsi="宋体"/>
                <w:b/>
                <w:sz w:val="24"/>
              </w:rPr>
              <w:t>编号：</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项目</w:t>
            </w:r>
            <w:r>
              <w:rPr>
                <w:rFonts w:ascii="宋体" w:hAnsi="宋体"/>
                <w:b/>
                <w:sz w:val="24"/>
              </w:rPr>
              <w:t>名称：</w:t>
            </w:r>
            <w:r>
              <w:rPr>
                <w:rFonts w:hint="eastAsia" w:ascii="宋体" w:hAnsi="宋体"/>
                <w:b/>
                <w:sz w:val="24"/>
                <w:lang w:val="en-US" w:eastAsia="zh-CN"/>
              </w:rPr>
              <w:t>机加工工艺数据设计开发与应用研究</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数量：一套</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ascii="宋体" w:hAnsi="宋体"/>
                <w:b/>
                <w:sz w:val="24"/>
              </w:rPr>
              <w:t>报价方式及币种</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4.1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s="宋体"/>
                <w:bCs/>
                <w:kern w:val="0"/>
                <w:sz w:val="24"/>
              </w:rPr>
            </w:pPr>
            <w:r>
              <w:rPr>
                <w:rFonts w:hint="eastAsia" w:ascii="宋体" w:hAnsi="宋体"/>
                <w:sz w:val="24"/>
              </w:rPr>
              <w:t>报价币种：</w:t>
            </w:r>
            <w:r>
              <w:rPr>
                <w:rFonts w:hint="eastAsia" w:ascii="宋体" w:hAnsi="宋体"/>
                <w:sz w:val="24"/>
                <w:lang w:val="en-US" w:eastAsia="zh-CN"/>
              </w:rPr>
              <w:t>90万</w:t>
            </w:r>
            <w:r>
              <w:rPr>
                <w:rFonts w:hint="eastAsia" w:ascii="宋体" w:hAnsi="宋体"/>
                <w:sz w:val="24"/>
              </w:rPr>
              <w:t>人民币</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4.2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s="宋体"/>
                <w:bCs/>
                <w:kern w:val="0"/>
                <w:sz w:val="24"/>
              </w:rPr>
            </w:pPr>
            <w:r>
              <w:rPr>
                <w:rFonts w:hint="eastAsia" w:ascii="宋体" w:hAnsi="宋体"/>
                <w:sz w:val="24"/>
              </w:rPr>
              <w:t>报价方式：招标方现场价 (包括一切税费、杂费、安装调试费等)</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4.3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rPr>
            </w:pPr>
            <w:r>
              <w:rPr>
                <w:rFonts w:hint="eastAsia" w:ascii="宋体" w:hAnsi="宋体"/>
                <w:sz w:val="24"/>
              </w:rPr>
              <w:t>实施范围：中国航发航空科技股份有限公司</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5.</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项目周期</w:t>
            </w:r>
            <w:r>
              <w:rPr>
                <w:rFonts w:ascii="宋体" w:hAnsi="宋体"/>
                <w:b/>
                <w:sz w:val="24"/>
              </w:rPr>
              <w:t>：至</w:t>
            </w:r>
            <w:r>
              <w:rPr>
                <w:rFonts w:hint="eastAsia" w:ascii="宋体" w:hAnsi="宋体"/>
                <w:b/>
                <w:sz w:val="24"/>
              </w:rPr>
              <w:t xml:space="preserve"> 2026年</w:t>
            </w:r>
            <w:r>
              <w:rPr>
                <w:rFonts w:hint="eastAsia" w:ascii="宋体" w:hAnsi="宋体"/>
                <w:b/>
                <w:sz w:val="24"/>
                <w:lang w:val="en-US" w:eastAsia="zh-CN"/>
              </w:rPr>
              <w:t>12</w:t>
            </w:r>
            <w:r>
              <w:rPr>
                <w:rFonts w:hint="eastAsia" w:ascii="宋体" w:hAnsi="宋体"/>
                <w:b/>
                <w:sz w:val="24"/>
              </w:rPr>
              <w:t>月</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项目整体要求</w:t>
            </w:r>
            <w:r>
              <w:rPr>
                <w:rFonts w:ascii="宋体" w:hAnsi="宋体"/>
                <w:b/>
                <w:sz w:val="24"/>
              </w:rPr>
              <w:t>：</w:t>
            </w:r>
          </w:p>
          <w:p>
            <w:pPr>
              <w:tabs>
                <w:tab w:val="left" w:pos="480"/>
              </w:tabs>
              <w:spacing w:line="480" w:lineRule="exact"/>
              <w:ind w:right="685" w:rightChars="326" w:firstLine="240" w:firstLineChars="100"/>
              <w:jc w:val="left"/>
              <w:rPr>
                <w:rFonts w:ascii="宋体" w:hAnsi="宋体"/>
                <w:sz w:val="24"/>
              </w:rPr>
            </w:pPr>
            <w:r>
              <w:rPr>
                <w:rFonts w:hint="eastAsia" w:ascii="宋体" w:hAnsi="宋体"/>
                <w:sz w:val="24"/>
                <w:lang w:val="en-US" w:eastAsia="zh-CN"/>
              </w:rPr>
              <w:t>针对车间零件编程过程中工艺效率低、不匹配等问题，开展知识图谱、工艺数据、数据模型、APP集成的研究，实现工艺参数数据的结构化、关联性应用，实现工艺数据设计流程化、透明化管理和工艺参数的自动匹配，达到提高产品开发的工艺数据设计效率和准确率效果。</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ascii="宋体" w:hAnsi="宋体"/>
                <w:b/>
                <w:sz w:val="24"/>
              </w:rPr>
              <w:t>7.</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rPr>
            </w:pPr>
            <w:r>
              <w:rPr>
                <w:rFonts w:hint="eastAsia" w:ascii="宋体" w:hAnsi="宋体"/>
                <w:b/>
                <w:sz w:val="24"/>
              </w:rPr>
              <w:t>详细技术指标及规格</w:t>
            </w:r>
            <w:r>
              <w:rPr>
                <w:rFonts w:ascii="宋体" w:hAnsi="宋体"/>
                <w:b/>
                <w:sz w:val="24"/>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b/>
                <w:sz w:val="24"/>
              </w:rPr>
              <w:t>7.1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bCs/>
                <w:sz w:val="24"/>
              </w:rPr>
            </w:pPr>
            <w:r>
              <w:rPr>
                <w:rFonts w:hint="eastAsia" w:ascii="宋体" w:hAnsi="宋体"/>
                <w:b/>
                <w:bCs/>
                <w:sz w:val="24"/>
                <w:lang w:val="en-US" w:eastAsia="zh-CN"/>
              </w:rPr>
              <w:t>知识图谱研究与开发</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7.1.1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val="0"/>
                <w:sz w:val="24"/>
                <w:lang w:val="en-US" w:eastAsia="zh-CN"/>
              </w:rPr>
              <w:t>通过开展机加工参数、加工策略、走刀方式、机床、材料、刀具、特征等内容的研究，精准定义概念和关系规则，构建机加切削参数知识图谱</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7.1.2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val="0"/>
                <w:sz w:val="24"/>
                <w:lang w:val="en-US" w:eastAsia="zh-CN"/>
              </w:rPr>
              <w:t>形成包含具体实例数据和关系的知识图谱，知识图谱负责关联、推理、智能推荐</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 w:val="24"/>
                <w:lang w:val="en-US" w:eastAsia="zh-CN"/>
              </w:rPr>
            </w:pPr>
            <w:r>
              <w:rPr>
                <w:rFonts w:hint="eastAsia" w:ascii="宋体" w:hAnsi="宋体"/>
                <w:sz w:val="24"/>
                <w:lang w:val="en-US" w:eastAsia="zh-CN"/>
              </w:rPr>
              <w:t>*7.1.3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val="0"/>
                <w:sz w:val="24"/>
                <w:lang w:val="en-US" w:eastAsia="zh-CN"/>
              </w:rPr>
            </w:pPr>
            <w:r>
              <w:rPr>
                <w:rFonts w:hint="eastAsia" w:ascii="宋体" w:hAnsi="宋体"/>
                <w:b w:val="0"/>
                <w:bCs w:val="0"/>
                <w:sz w:val="24"/>
                <w:lang w:val="en-US" w:eastAsia="zh-CN"/>
              </w:rPr>
              <w:t>编程对象业务场景必须包含铣平面、铣曲面、铣槽、铣孔、叶片拉销、车平面、车槽、车螺纹、车圆、车锥面、车曲面等，不少于10种典型场景</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7.1.4</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eastAsia" w:ascii="宋体" w:hAnsi="宋体"/>
                <w:b w:val="0"/>
                <w:bCs w:val="0"/>
                <w:sz w:val="24"/>
                <w:lang w:val="en-US" w:eastAsia="zh-CN"/>
              </w:rPr>
              <w:t>知识图谱的关系必须包含加工参数、加工策略（粗、半精、精）、走刀方式、机床、材料、刀具、特征等，不少于7类</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7.1.5</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eastAsia" w:ascii="宋体" w:hAnsi="宋体" w:cs="Times New Roman"/>
                <w:b w:val="0"/>
                <w:bCs w:val="0"/>
                <w:kern w:val="2"/>
                <w:sz w:val="24"/>
                <w:szCs w:val="24"/>
                <w:lang w:val="en-US" w:eastAsia="zh-CN" w:bidi="ar-SA"/>
              </w:rPr>
              <w:t>知识图谱需包含具体实例数据和关系的深层次图谱</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7.1.6</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eastAsia" w:ascii="宋体" w:hAnsi="宋体"/>
                <w:b w:val="0"/>
                <w:bCs/>
                <w:sz w:val="24"/>
                <w:lang w:val="en-US" w:eastAsia="zh-CN"/>
              </w:rPr>
              <w:t>知识图谱节点数量不少于1000条</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Times New Roman"/>
                <w:b w:val="0"/>
                <w:bCs/>
                <w:kern w:val="2"/>
                <w:sz w:val="24"/>
                <w:szCs w:val="24"/>
                <w:lang w:val="en-US" w:eastAsia="zh-CN" w:bidi="ar-SA"/>
              </w:rPr>
            </w:pPr>
            <w:r>
              <w:rPr>
                <w:rFonts w:hint="eastAsia" w:ascii="宋体" w:hAnsi="宋体"/>
                <w:b/>
                <w:sz w:val="24"/>
                <w:lang w:val="en-US" w:eastAsia="zh-CN"/>
              </w:rPr>
              <w:t>7.2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sz w:val="24"/>
              </w:rPr>
            </w:pPr>
            <w:r>
              <w:rPr>
                <w:rFonts w:hint="eastAsia" w:ascii="宋体" w:hAnsi="宋体"/>
                <w:b/>
                <w:bCs/>
                <w:sz w:val="24"/>
                <w:lang w:val="en-US" w:eastAsia="zh-CN"/>
              </w:rPr>
              <w:t>关系模型的开发与构建</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宋体" w:hAnsi="宋体" w:eastAsia="宋体" w:cs="Times New Roman"/>
                <w:b w:val="0"/>
                <w:bCs/>
                <w:kern w:val="2"/>
                <w:sz w:val="24"/>
                <w:szCs w:val="24"/>
                <w:lang w:val="en-US" w:eastAsia="zh-CN" w:bidi="ar-SA"/>
              </w:rPr>
            </w:pPr>
            <w:r>
              <w:rPr>
                <w:rFonts w:hint="eastAsia" w:ascii="宋体" w:hAnsi="宋体"/>
                <w:b w:val="0"/>
                <w:bCs/>
                <w:sz w:val="24"/>
                <w:lang w:val="en-US" w:eastAsia="zh-CN"/>
              </w:rPr>
              <w:t>7.2.1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eastAsia" w:ascii="宋体" w:hAnsi="宋体"/>
                <w:b w:val="0"/>
                <w:bCs/>
                <w:sz w:val="24"/>
                <w:lang w:val="en-US" w:eastAsia="zh-CN"/>
              </w:rPr>
              <w:t>构建支撑编程过程中具体业务应用的稳定、高效的关系型数据库</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7.2.2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eastAsia" w:ascii="宋体" w:hAnsi="宋体" w:cs="Times New Roman"/>
                <w:b w:val="0"/>
                <w:bCs w:val="0"/>
                <w:kern w:val="2"/>
                <w:sz w:val="24"/>
                <w:szCs w:val="24"/>
                <w:lang w:val="en-US" w:eastAsia="zh-CN" w:bidi="ar-SA"/>
              </w:rPr>
              <w:t>设计支撑业务场景的表结构</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*7.2.3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sz w:val="24"/>
              </w:rPr>
            </w:pPr>
            <w:r>
              <w:rPr>
                <w:rFonts w:hint="default" w:ascii="宋体" w:hAnsi="宋体"/>
                <w:b w:val="0"/>
                <w:bCs/>
                <w:sz w:val="24"/>
                <w:lang w:val="en-US" w:eastAsia="zh-CN"/>
              </w:rPr>
              <w:t>建立材料、</w:t>
            </w:r>
            <w:r>
              <w:rPr>
                <w:rFonts w:hint="eastAsia" w:ascii="宋体" w:hAnsi="宋体"/>
                <w:b w:val="0"/>
                <w:bCs/>
                <w:sz w:val="24"/>
                <w:lang w:val="en-US" w:eastAsia="zh-CN"/>
              </w:rPr>
              <w:t>特征、</w:t>
            </w:r>
            <w:r>
              <w:rPr>
                <w:rFonts w:hint="default" w:ascii="宋体" w:hAnsi="宋体"/>
                <w:b w:val="0"/>
                <w:bCs/>
                <w:sz w:val="24"/>
                <w:lang w:val="en-US" w:eastAsia="zh-CN"/>
              </w:rPr>
              <w:t>尺寸公差等输入数据与加工方法、机床、刀具、加工参数等的关系模型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bCs w:val="0"/>
                <w:sz w:val="24"/>
                <w:lang w:val="en-US" w:eastAsia="zh-CN"/>
              </w:rPr>
              <w:t>7.3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1" w:firstLineChars="100"/>
              <w:rPr>
                <w:rFonts w:hint="eastAsia" w:ascii="宋体" w:hAnsi="宋体" w:eastAsia="宋体" w:cs="Times New Roman"/>
                <w:b w:val="0"/>
                <w:bCs/>
                <w:kern w:val="2"/>
                <w:sz w:val="24"/>
                <w:szCs w:val="24"/>
                <w:lang w:val="en-US" w:eastAsia="zh-CN" w:bidi="ar-SA"/>
              </w:rPr>
            </w:pPr>
            <w:r>
              <w:rPr>
                <w:rFonts w:hint="eastAsia" w:ascii="宋体" w:hAnsi="宋体"/>
                <w:b/>
                <w:bCs/>
                <w:sz w:val="24"/>
                <w:lang w:val="en-US" w:eastAsia="zh-CN"/>
              </w:rPr>
              <w:t>工艺参数数据研究与数据定义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7.3.1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eastAsia="宋体" w:cs="Times New Roman"/>
                <w:b w:val="0"/>
                <w:bCs/>
                <w:kern w:val="2"/>
                <w:sz w:val="24"/>
                <w:szCs w:val="24"/>
                <w:lang w:val="en-US" w:eastAsia="zh-CN" w:bidi="ar-SA"/>
              </w:rPr>
            </w:pPr>
            <w:r>
              <w:rPr>
                <w:rFonts w:hint="eastAsia" w:ascii="宋体" w:hAnsi="宋体"/>
                <w:b w:val="0"/>
                <w:bCs w:val="0"/>
                <w:sz w:val="24"/>
                <w:lang w:val="en-US" w:eastAsia="zh-CN"/>
              </w:rPr>
              <w:t>制定统一的数据交换格式与API规范</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7.3.2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eastAsia="宋体" w:cs="Times New Roman"/>
                <w:b w:val="0"/>
                <w:bCs/>
                <w:kern w:val="2"/>
                <w:sz w:val="24"/>
                <w:szCs w:val="24"/>
                <w:lang w:val="en-US" w:eastAsia="zh-CN" w:bidi="ar-SA"/>
              </w:rPr>
            </w:pPr>
            <w:r>
              <w:rPr>
                <w:rFonts w:hint="eastAsia" w:ascii="宋体" w:hAnsi="宋体"/>
                <w:b w:val="0"/>
                <w:bCs w:val="0"/>
                <w:sz w:val="24"/>
                <w:lang w:val="en-US" w:eastAsia="zh-CN"/>
              </w:rPr>
              <w:t>数据分类定义层级深度不少于5级</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宋体" w:hAnsi="宋体" w:eastAsia="宋体" w:cs="Times New Roman"/>
                <w:b w:val="0"/>
                <w:bCs/>
                <w:kern w:val="2"/>
                <w:sz w:val="24"/>
                <w:szCs w:val="24"/>
                <w:lang w:val="en-US" w:eastAsia="zh-CN" w:bidi="ar-SA"/>
              </w:rPr>
            </w:pPr>
            <w:r>
              <w:rPr>
                <w:rFonts w:hint="eastAsia" w:ascii="宋体" w:hAnsi="宋体"/>
                <w:b/>
                <w:bCs w:val="0"/>
                <w:sz w:val="24"/>
                <w:lang w:val="en-US" w:eastAsia="zh-CN"/>
              </w:rPr>
              <w:t>7.4</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1" w:firstLineChars="100"/>
              <w:rPr>
                <w:rFonts w:hint="eastAsia" w:ascii="宋体" w:hAnsi="宋体" w:eastAsia="宋体" w:cs="Times New Roman"/>
                <w:b w:val="0"/>
                <w:bCs/>
                <w:kern w:val="2"/>
                <w:sz w:val="24"/>
                <w:szCs w:val="24"/>
                <w:lang w:val="en-US" w:eastAsia="zh-CN" w:bidi="ar-SA"/>
              </w:rPr>
            </w:pPr>
            <w:r>
              <w:rPr>
                <w:rFonts w:hint="eastAsia" w:ascii="宋体" w:hAnsi="宋体"/>
                <w:b/>
                <w:bCs/>
                <w:sz w:val="24"/>
                <w:lang w:val="en-US" w:eastAsia="zh-CN"/>
              </w:rPr>
              <w:t>推荐模型开发</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7.4.1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eastAsia="宋体" w:cs="Times New Roman"/>
                <w:b w:val="0"/>
                <w:bCs/>
                <w:kern w:val="2"/>
                <w:sz w:val="24"/>
                <w:szCs w:val="24"/>
                <w:lang w:val="en-US" w:eastAsia="zh-CN" w:bidi="ar-SA"/>
              </w:rPr>
            </w:pPr>
            <w:r>
              <w:rPr>
                <w:rFonts w:hint="default" w:ascii="宋体" w:hAnsi="宋体"/>
                <w:b w:val="0"/>
                <w:bCs/>
                <w:sz w:val="24"/>
                <w:lang w:val="en-US" w:eastAsia="zh-CN"/>
              </w:rPr>
              <w:t>建立关联性排序算法和规则，在工艺数据设计过程中对工艺资源、工艺知识</w:t>
            </w:r>
            <w:r>
              <w:rPr>
                <w:rFonts w:hint="eastAsia" w:ascii="宋体" w:hAnsi="宋体"/>
                <w:b w:val="0"/>
                <w:bCs/>
                <w:sz w:val="24"/>
                <w:lang w:val="en-US" w:eastAsia="zh-CN"/>
              </w:rPr>
              <w:t>、工艺案例、零件特征</w:t>
            </w:r>
            <w:r>
              <w:rPr>
                <w:rFonts w:hint="default" w:ascii="宋体" w:hAnsi="宋体"/>
                <w:b w:val="0"/>
                <w:bCs/>
                <w:sz w:val="24"/>
                <w:lang w:val="en-US" w:eastAsia="zh-CN"/>
              </w:rPr>
              <w:t>和加工参数进行</w:t>
            </w:r>
            <w:r>
              <w:rPr>
                <w:rFonts w:hint="eastAsia" w:ascii="宋体" w:hAnsi="宋体"/>
                <w:b w:val="0"/>
                <w:bCs/>
                <w:sz w:val="24"/>
                <w:lang w:val="en-US" w:eastAsia="zh-CN"/>
              </w:rPr>
              <w:t>推理</w:t>
            </w:r>
            <w:r>
              <w:rPr>
                <w:rFonts w:hint="default" w:ascii="宋体" w:hAnsi="宋体"/>
                <w:b w:val="0"/>
                <w:bCs/>
                <w:sz w:val="24"/>
                <w:lang w:val="en-US" w:eastAsia="zh-CN"/>
              </w:rPr>
              <w:t>和推荐</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eastAsia="宋体" w:cs="Times New Roman"/>
                <w:b w:val="0"/>
                <w:bCs/>
                <w:kern w:val="2"/>
                <w:sz w:val="24"/>
                <w:szCs w:val="24"/>
                <w:lang w:val="en-US" w:eastAsia="zh-CN" w:bidi="ar-SA"/>
              </w:rPr>
            </w:pPr>
            <w:r>
              <w:rPr>
                <w:rFonts w:hint="eastAsia" w:ascii="宋体" w:hAnsi="宋体"/>
                <w:b w:val="0"/>
                <w:bCs/>
                <w:sz w:val="24"/>
                <w:lang w:val="en-US" w:eastAsia="zh-CN"/>
              </w:rPr>
              <w:t>7.4.2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eastAsia="宋体" w:cs="Times New Roman"/>
                <w:b w:val="0"/>
                <w:bCs/>
                <w:kern w:val="2"/>
                <w:sz w:val="24"/>
                <w:szCs w:val="24"/>
                <w:lang w:val="en-US" w:eastAsia="zh-CN" w:bidi="ar-SA"/>
              </w:rPr>
            </w:pPr>
            <w:r>
              <w:rPr>
                <w:rFonts w:hint="eastAsia" w:ascii="宋体" w:hAnsi="宋体"/>
                <w:b w:val="0"/>
                <w:bCs/>
                <w:sz w:val="24"/>
                <w:lang w:val="en-US" w:eastAsia="zh-CN"/>
              </w:rPr>
              <w:t>建立机床、</w:t>
            </w:r>
            <w:r>
              <w:rPr>
                <w:rFonts w:hint="default" w:ascii="宋体" w:hAnsi="宋体"/>
                <w:b w:val="0"/>
                <w:bCs/>
                <w:sz w:val="24"/>
                <w:lang w:val="en-US" w:eastAsia="zh-CN"/>
              </w:rPr>
              <w:t>加工方法、刀具、加工参数等</w:t>
            </w:r>
            <w:r>
              <w:rPr>
                <w:rFonts w:hint="eastAsia" w:ascii="宋体" w:hAnsi="宋体"/>
                <w:b w:val="0"/>
                <w:bCs/>
                <w:sz w:val="24"/>
                <w:lang w:val="en-US" w:eastAsia="zh-CN"/>
              </w:rPr>
              <w:t>不同关系模型之间的先后顺序推荐规则</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实现基于知识图谱、规则、模型和历史案例的机床的推理模型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7.4.4</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实现基于知识图谱、规则、模型和历史案例的组装刀具的推理，包括平整体硬质合金铣刀、装夹刀片分体式铣刀、装夹刀片分体式车刀等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*7.4.5</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实现基于知识图谱、规则、模型和历史案例的切削参数的推理模型，包括切削速度、转速、进给、切深、切宽、换刀时间等，不少于6种</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7.4.6</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实现基于知识图谱、规则、模型和历史案例的走刀路径的推理模型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7.4.7</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实现基于知识图谱、规则、模型和历史案例的刀具磨损的推理模型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7.4.8</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实现基于知识图谱、规则、模型和历史案例的表面质量的推理模型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7.4.9</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实现基于知识图谱、规则、模型和历史案例的加工变形的推理模型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7.4.10</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实现基于知识图谱、规则、模型和历史案例的刀具消耗的推理模型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7.4.11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建立结构化的工艺参数智能推荐模板</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7.4.12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加工方法、加工策略（粗、半精、精）、走刀方式、机床、刀具、加工参数等推荐准确率≥80%</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bCs w:val="0"/>
                <w:sz w:val="24"/>
                <w:lang w:val="en-US" w:eastAsia="zh-CN"/>
              </w:rPr>
              <w:t>7.5</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1" w:firstLineChars="100"/>
              <w:rPr>
                <w:rFonts w:hint="default" w:ascii="宋体" w:hAnsi="宋体"/>
                <w:b w:val="0"/>
                <w:bCs/>
                <w:sz w:val="24"/>
                <w:lang w:val="en-US" w:eastAsia="zh-CN"/>
              </w:rPr>
            </w:pPr>
            <w:r>
              <w:rPr>
                <w:rFonts w:hint="eastAsia" w:ascii="宋体" w:hAnsi="宋体"/>
                <w:b/>
                <w:bCs w:val="0"/>
                <w:sz w:val="24"/>
                <w:lang w:val="en-US" w:eastAsia="zh-CN"/>
              </w:rPr>
              <w:t>切削工艺仿真分析与工艺参数优化</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7.5.1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支持工艺模型的历史回顾和追溯功能，便于工艺改进和优化决策</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7.5.2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支持工艺参数校验、优化建议等功能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7.5.3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提供切削工艺仿真及工艺统计分析工具（如质量趋势分析、异常检测、工艺参数相关性分析等）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7.</w:t>
            </w:r>
            <w:r>
              <w:rPr>
                <w:rFonts w:hint="eastAsia" w:ascii="宋体" w:hAnsi="宋体"/>
                <w:b/>
                <w:color w:val="000000" w:themeColor="text1"/>
                <w:sz w:val="24"/>
                <w:lang w:val="en-US" w:eastAsia="zh-CN"/>
                <w14:textFill>
                  <w14:solidFill>
                    <w14:schemeClr w14:val="tx1"/>
                  </w14:solidFill>
                </w14:textFill>
              </w:rPr>
              <w:t>6</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left="210" w:leftChars="100"/>
              <w:rPr>
                <w:rFonts w:ascii="宋体" w:hAnsi="宋体"/>
                <w:b/>
                <w:sz w:val="24"/>
              </w:rPr>
            </w:pPr>
            <w:r>
              <w:rPr>
                <w:rFonts w:hint="eastAsia" w:ascii="宋体" w:hAnsi="宋体"/>
                <w:b/>
                <w:bCs w:val="0"/>
                <w:sz w:val="24"/>
                <w:lang w:val="en-US" w:eastAsia="zh-CN"/>
              </w:rPr>
              <w:t>切削工艺APP软件开发功能要求</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7.6.1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sz w:val="24"/>
                <w:lang w:val="en-US" w:eastAsia="zh-CN"/>
              </w:rPr>
              <w:t>切削工艺数据结构化管理</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sz w:val="24"/>
              </w:rPr>
            </w:pPr>
            <w:r>
              <w:rPr>
                <w:rFonts w:hint="eastAsia" w:ascii="宋体" w:hAnsi="宋体"/>
                <w:b w:val="0"/>
                <w:bCs/>
                <w:sz w:val="24"/>
                <w:lang w:val="en-US" w:eastAsia="zh-CN"/>
              </w:rPr>
              <w:t>7.6.1.1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sz w:val="24"/>
                <w:lang w:val="en-US" w:eastAsia="zh-CN"/>
              </w:rPr>
              <w:t>支持切削工艺参数的标准化定义和命名规则，确保数据的一致性</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7.6.1.2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提供切削工艺数据的层级化存储结构，支持数据的分类、组织和查询功能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7.6.1.3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sz w:val="24"/>
                <w:lang w:val="en-US" w:eastAsia="zh-CN"/>
              </w:rPr>
              <w:t>实现切削工艺数据的标准化编码和标签化处理，便于工艺数据的检索和分析</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7.6.2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sz w:val="24"/>
                <w:lang w:val="en-US" w:eastAsia="zh-CN"/>
              </w:rPr>
              <w:t>切削工艺资源图谱化管理</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7.6.2.1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default" w:ascii="宋体" w:hAnsi="宋体"/>
                <w:b w:val="0"/>
                <w:bCs/>
                <w:sz w:val="24"/>
                <w:lang w:val="en-US" w:eastAsia="zh-CN"/>
              </w:rPr>
              <w:t>构建</w:t>
            </w:r>
            <w:r>
              <w:rPr>
                <w:rFonts w:hint="eastAsia" w:ascii="宋体" w:hAnsi="宋体"/>
                <w:b w:val="0"/>
                <w:bCs/>
                <w:sz w:val="24"/>
                <w:lang w:val="en-US" w:eastAsia="zh-CN"/>
              </w:rPr>
              <w:t>切削工艺</w:t>
            </w:r>
            <w:r>
              <w:rPr>
                <w:rFonts w:hint="default" w:ascii="宋体" w:hAnsi="宋体"/>
                <w:b w:val="0"/>
                <w:bCs/>
                <w:sz w:val="24"/>
                <w:lang w:val="en-US" w:eastAsia="zh-CN"/>
              </w:rPr>
              <w:t>动态图谱模型，并支持实时更新</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7.6.2.2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default" w:ascii="宋体" w:hAnsi="宋体"/>
                <w:b w:val="0"/>
                <w:bCs/>
                <w:sz w:val="24"/>
                <w:lang w:val="en-US" w:eastAsia="zh-CN"/>
              </w:rPr>
              <w:t>根据工艺需求，</w:t>
            </w:r>
            <w:r>
              <w:rPr>
                <w:rFonts w:hint="eastAsia" w:ascii="宋体" w:hAnsi="宋体"/>
                <w:b w:val="0"/>
                <w:bCs/>
                <w:sz w:val="24"/>
                <w:lang w:val="en-US" w:eastAsia="zh-CN"/>
              </w:rPr>
              <w:t>基于切削工艺资源图谱</w:t>
            </w:r>
            <w:r>
              <w:rPr>
                <w:rFonts w:hint="default" w:ascii="宋体" w:hAnsi="宋体"/>
                <w:b w:val="0"/>
                <w:bCs/>
                <w:sz w:val="24"/>
                <w:lang w:val="en-US" w:eastAsia="zh-CN"/>
              </w:rPr>
              <w:t>自动生成或优化资源配对关系</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7.6.2.3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支撑用户对知识图谱的人工标记和重定义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olor w:val="000000" w:themeColor="text1"/>
                <w:sz w:val="24"/>
                <w14:textFill>
                  <w14:solidFill>
                    <w14:schemeClr w14:val="tx1"/>
                  </w14:solidFill>
                </w14:textFill>
              </w:rPr>
            </w:pPr>
            <w:r>
              <w:rPr>
                <w:rFonts w:hint="eastAsia" w:ascii="宋体" w:hAnsi="宋体"/>
                <w:b w:val="0"/>
                <w:bCs/>
                <w:sz w:val="24"/>
                <w:lang w:val="en-US" w:eastAsia="zh-CN"/>
              </w:rPr>
              <w:t>7.6.3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ascii="宋体" w:hAnsi="宋体"/>
                <w:sz w:val="24"/>
              </w:rPr>
            </w:pPr>
            <w:r>
              <w:rPr>
                <w:rFonts w:hint="eastAsia" w:ascii="宋体" w:hAnsi="宋体"/>
                <w:b w:val="0"/>
                <w:bCs/>
                <w:sz w:val="24"/>
                <w:lang w:val="en-US" w:eastAsia="zh-CN"/>
              </w:rPr>
              <w:t>切削工艺数据关联性应用</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7.6.3.1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支持工艺参数间的跨维度关联关系建立（如工艺参数与设备、工艺步骤、质量指标的关系）</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7.6.3.2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提供数据可视化功能，展示工艺参数的实时变化趋势及与其他参数的关联性</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7.6.3.3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实现数据预测分析功能，基于历史数据和工艺规律，对关键工艺参数进行预测</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7.6.4</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APP集成与用户交互</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7.6.4.1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在用户指定的系统平台进行部署与集成，并开展应用验证</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7.6.4.2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default" w:ascii="宋体" w:hAnsi="宋体"/>
                <w:b w:val="0"/>
                <w:bCs/>
                <w:sz w:val="24"/>
                <w:lang w:val="en-US" w:eastAsia="zh-CN"/>
              </w:rPr>
              <w:t>支持多语言支持和多平台适配，确保用户在各个设备上的良好使用体验</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7.6.4.3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支持APP群的集成</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7.6.5</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工艺数据的采集与归一化处理</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7.6.5.1</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支持导入金属切削工艺手册</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7.6.5.2</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支持从企业已有数据库中进行数据挖掘（如工艺系统、材料数据库、工装数据库、设备数据库等）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宋体" w:hAnsi="宋体"/>
                <w:b w:val="0"/>
                <w:bCs/>
                <w:sz w:val="24"/>
                <w:lang w:val="en-US" w:eastAsia="zh-CN"/>
              </w:rPr>
            </w:pPr>
            <w:r>
              <w:rPr>
                <w:rFonts w:hint="eastAsia" w:ascii="宋体" w:hAnsi="宋体"/>
                <w:b w:val="0"/>
                <w:bCs/>
                <w:sz w:val="24"/>
                <w:lang w:val="en-US" w:eastAsia="zh-CN"/>
              </w:rPr>
              <w:t>7.6.5.3</w:t>
            </w:r>
          </w:p>
        </w:tc>
        <w:tc>
          <w:tcPr>
            <w:tcW w:w="8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240" w:firstLineChars="100"/>
              <w:rPr>
                <w:rFonts w:hint="eastAsia" w:ascii="宋体" w:hAnsi="宋体"/>
                <w:b w:val="0"/>
                <w:bCs/>
                <w:sz w:val="24"/>
                <w:lang w:val="en-US" w:eastAsia="zh-CN"/>
              </w:rPr>
            </w:pPr>
            <w:r>
              <w:rPr>
                <w:rFonts w:hint="eastAsia" w:ascii="宋体" w:hAnsi="宋体"/>
                <w:b w:val="0"/>
                <w:bCs/>
                <w:sz w:val="24"/>
                <w:lang w:val="en-US" w:eastAsia="zh-CN"/>
              </w:rPr>
              <w:t>形成的模型和知识图谱封装成APP</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bCs/>
                <w:color w:val="000000" w:themeColor="text1"/>
                <w:sz w:val="24"/>
                <w14:textFill>
                  <w14:solidFill>
                    <w14:schemeClr w14:val="tx1"/>
                  </w14:solidFill>
                </w14:textFill>
              </w:rPr>
            </w:pPr>
            <w:r>
              <w:rPr>
                <w:rFonts w:hint="eastAsia" w:ascii="宋体" w:hAnsi="宋体"/>
                <w:b/>
                <w:bCs/>
                <w:sz w:val="24"/>
              </w:rPr>
              <w:t>8</w:t>
            </w:r>
            <w:r>
              <w:rPr>
                <w:rFonts w:ascii="宋体" w:hAnsi="宋体"/>
                <w:b/>
                <w:bCs/>
                <w:sz w:val="24"/>
              </w:rPr>
              <w:t>.</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left="210" w:leftChars="100"/>
              <w:rPr>
                <w:rFonts w:ascii="宋体" w:hAnsi="宋体"/>
                <w:b/>
                <w:bCs/>
                <w:sz w:val="24"/>
              </w:rPr>
            </w:pPr>
            <w:r>
              <w:rPr>
                <w:rFonts w:hint="eastAsia" w:ascii="宋体" w:hAnsi="宋体"/>
                <w:b/>
                <w:bCs/>
                <w:sz w:val="24"/>
              </w:rPr>
              <w:t>项目实施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sz w:val="24"/>
                <w:lang w:val="en-US" w:eastAsia="zh-CN"/>
              </w:rPr>
              <w:t>*</w:t>
            </w:r>
            <w:r>
              <w:rPr>
                <w:rFonts w:hint="eastAsia" w:ascii="宋体" w:hAnsi="宋体"/>
                <w:sz w:val="24"/>
              </w:rPr>
              <w:t>8</w:t>
            </w:r>
            <w:r>
              <w:rPr>
                <w:rFonts w:ascii="宋体" w:hAnsi="宋体"/>
                <w:sz w:val="24"/>
              </w:rPr>
              <w:t>.</w:t>
            </w:r>
            <w:r>
              <w:rPr>
                <w:rFonts w:hint="eastAsia" w:ascii="宋体" w:hAnsi="宋体"/>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rPr>
            </w:pPr>
            <w:r>
              <w:rPr>
                <w:rFonts w:hint="eastAsia" w:ascii="宋体" w:hAnsi="宋体"/>
                <w:color w:val="000000" w:themeColor="text1"/>
                <w:sz w:val="24"/>
                <w:lang w:val="en-US" w:eastAsia="zh-CN"/>
                <w14:textFill>
                  <w14:solidFill>
                    <w14:schemeClr w14:val="tx1"/>
                  </w14:solidFill>
                </w14:textFill>
              </w:rPr>
              <w:t>本项目的成果与产权全部属于</w:t>
            </w:r>
            <w:r>
              <w:rPr>
                <w:rFonts w:hint="eastAsia" w:ascii="宋体" w:hAnsi="宋体"/>
                <w:color w:val="000000" w:themeColor="text1"/>
                <w:sz w:val="24"/>
                <w14:textFill>
                  <w14:solidFill>
                    <w14:schemeClr w14:val="tx1"/>
                  </w14:solidFill>
                </w14:textFill>
              </w:rPr>
              <w:t>中国航发航空科技股份有限公司</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须交付软著、专利、代码等全部内容，非招标方同意，中标方不得基于本项目的成果开展后续开发，基于本项目成果后续开发内容形成的成果属于</w:t>
            </w:r>
            <w:r>
              <w:rPr>
                <w:rFonts w:hint="eastAsia" w:ascii="宋体" w:hAnsi="宋体"/>
                <w:color w:val="000000" w:themeColor="text1"/>
                <w:sz w:val="24"/>
                <w14:textFill>
                  <w14:solidFill>
                    <w14:schemeClr w14:val="tx1"/>
                  </w14:solidFill>
                </w14:textFill>
              </w:rPr>
              <w:t>中国航发航空科技股份有限公司。</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sz w:val="24"/>
              </w:rPr>
              <w:t>8</w:t>
            </w:r>
            <w:r>
              <w:rPr>
                <w:rFonts w:ascii="宋体" w:hAnsi="宋体"/>
                <w:sz w:val="24"/>
              </w:rPr>
              <w:t>.</w:t>
            </w:r>
            <w:r>
              <w:rPr>
                <w:rFonts w:hint="eastAsia" w:ascii="宋体" w:hAnsi="宋体"/>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询比价项目参与人方应结合招标方现场实际及需求，合理规划实施进度，满足招标方对项目时间节点的要求。</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sz w:val="24"/>
                <w:lang w:val="en-US" w:eastAsia="zh-CN"/>
              </w:rPr>
              <w:t>*</w:t>
            </w:r>
            <w:r>
              <w:rPr>
                <w:rFonts w:hint="eastAsia" w:ascii="宋体" w:hAnsi="宋体"/>
                <w:sz w:val="24"/>
              </w:rPr>
              <w:t>8</w:t>
            </w:r>
            <w:r>
              <w:rPr>
                <w:rFonts w:ascii="宋体" w:hAnsi="宋体"/>
                <w:sz w:val="24"/>
              </w:rPr>
              <w:t>.</w:t>
            </w:r>
            <w:r>
              <w:rPr>
                <w:rFonts w:hint="eastAsia" w:ascii="宋体" w:hAnsi="宋体"/>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中国航发航空科技股份有限公司必须全程参与研究和试验过程，投标方研究过程需对甲方全程透明化</w:t>
            </w:r>
            <w:r>
              <w:rPr>
                <w:rFonts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color w:val="000000" w:themeColor="text1"/>
                <w:sz w:val="24"/>
                <w14:textFill>
                  <w14:solidFill>
                    <w14:schemeClr w14:val="tx1"/>
                  </w14:solidFill>
                </w14:textFill>
              </w:rPr>
            </w:pPr>
            <w:r>
              <w:rPr>
                <w:rFonts w:hint="eastAsia" w:ascii="宋体" w:hAnsi="宋体"/>
                <w:sz w:val="24"/>
              </w:rPr>
              <w:t>8</w:t>
            </w:r>
            <w:r>
              <w:rPr>
                <w:rFonts w:ascii="宋体" w:hAnsi="宋体"/>
                <w:sz w:val="24"/>
              </w:rPr>
              <w:t>.</w:t>
            </w:r>
            <w:r>
              <w:rPr>
                <w:rFonts w:hint="eastAsia" w:ascii="宋体" w:hAnsi="宋体"/>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投标方在方案设计完成后组织甲方专家评审（需邀请外部专家）</w:t>
            </w:r>
            <w:r>
              <w:rPr>
                <w:rFonts w:ascii="宋体" w:hAnsi="宋体"/>
                <w:color w:val="000000" w:themeColor="text1"/>
                <w:sz w:val="24"/>
                <w14:textFill>
                  <w14:solidFill>
                    <w14:schemeClr w14:val="tx1"/>
                  </w14:solidFill>
                </w14:textFill>
              </w:rPr>
              <w:t>，费用由</w:t>
            </w:r>
            <w:r>
              <w:rPr>
                <w:rFonts w:hint="eastAsia" w:ascii="宋体" w:hAnsi="宋体"/>
                <w:color w:val="000000" w:themeColor="text1"/>
                <w:sz w:val="24"/>
                <w14:textFill>
                  <w14:solidFill>
                    <w14:schemeClr w14:val="tx1"/>
                  </w14:solidFill>
                </w14:textFill>
              </w:rPr>
              <w:t>投标方</w:t>
            </w:r>
            <w:r>
              <w:rPr>
                <w:rFonts w:ascii="宋体" w:hAnsi="宋体"/>
                <w:color w:val="000000" w:themeColor="text1"/>
                <w:sz w:val="24"/>
                <w14:textFill>
                  <w14:solidFill>
                    <w14:schemeClr w14:val="tx1"/>
                  </w14:solidFill>
                </w14:textFill>
              </w:rPr>
              <w:t>负责，评审通过后，可转入下一阶段。</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 w:val="24"/>
                <w:lang w:val="en-US" w:eastAsia="zh-CN"/>
              </w:rPr>
            </w:pPr>
            <w:r>
              <w:rPr>
                <w:rFonts w:hint="eastAsia" w:ascii="宋体" w:hAnsi="宋体"/>
                <w:sz w:val="24"/>
                <w:lang w:val="en-US" w:eastAsia="zh-CN"/>
              </w:rPr>
              <w:t>8.5</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投标方依据甲方需求设计中期考核目标和形式，组织甲方专家评审（需邀请外部专家）</w:t>
            </w:r>
            <w:r>
              <w:rPr>
                <w:rFonts w:ascii="宋体" w:hAnsi="宋体"/>
                <w:color w:val="000000" w:themeColor="text1"/>
                <w:sz w:val="24"/>
                <w14:textFill>
                  <w14:solidFill>
                    <w14:schemeClr w14:val="tx1"/>
                  </w14:solidFill>
                </w14:textFill>
              </w:rPr>
              <w:t>，费用由</w:t>
            </w:r>
            <w:r>
              <w:rPr>
                <w:rFonts w:hint="eastAsia" w:ascii="宋体" w:hAnsi="宋体"/>
                <w:color w:val="000000" w:themeColor="text1"/>
                <w:sz w:val="24"/>
                <w14:textFill>
                  <w14:solidFill>
                    <w14:schemeClr w14:val="tx1"/>
                  </w14:solidFill>
                </w14:textFill>
              </w:rPr>
              <w:t>投标方</w:t>
            </w:r>
            <w:r>
              <w:rPr>
                <w:rFonts w:ascii="宋体" w:hAnsi="宋体"/>
                <w:color w:val="000000" w:themeColor="text1"/>
                <w:sz w:val="24"/>
                <w14:textFill>
                  <w14:solidFill>
                    <w14:schemeClr w14:val="tx1"/>
                  </w14:solidFill>
                </w14:textFill>
              </w:rPr>
              <w:t>负责，评审通过后，进行中期拨款并进入下一阶段</w:t>
            </w:r>
            <w:r>
              <w:rPr>
                <w:rFonts w:hint="eastAsia" w:ascii="宋体" w:hAnsi="宋体"/>
                <w:color w:val="000000" w:themeColor="text1"/>
                <w:sz w:val="24"/>
                <w:lang w:eastAsia="zh-CN"/>
                <w14:textFill>
                  <w14:solidFill>
                    <w14:schemeClr w14:val="tx1"/>
                  </w14:solidFill>
                </w14:textFill>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b/>
                <w:sz w:val="24"/>
              </w:rPr>
              <w:t>9.</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left="239" w:leftChars="114"/>
              <w:rPr>
                <w:rFonts w:ascii="宋体" w:hAnsi="宋体"/>
                <w:sz w:val="24"/>
              </w:rPr>
            </w:pPr>
            <w:r>
              <w:rPr>
                <w:rFonts w:hint="eastAsia" w:ascii="宋体" w:hAnsi="宋体"/>
                <w:b/>
                <w:sz w:val="24"/>
              </w:rPr>
              <w:t>项目服务要求</w:t>
            </w:r>
            <w:r>
              <w:rPr>
                <w:rFonts w:ascii="宋体" w:hAnsi="宋体"/>
                <w:b/>
                <w:sz w:val="24"/>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rPr>
            </w:pPr>
            <w:r>
              <w:rPr>
                <w:rFonts w:hint="eastAsia" w:ascii="宋体" w:hAnsi="宋体"/>
                <w:sz w:val="24"/>
              </w:rPr>
              <w:t>9.1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left="210" w:leftChars="100"/>
              <w:jc w:val="left"/>
              <w:rPr>
                <w:sz w:val="24"/>
              </w:rPr>
            </w:pPr>
            <w:r>
              <w:rPr>
                <w:sz w:val="24"/>
              </w:rPr>
              <w:t>项目验收合格签字之日起一年内免费提供本项目相关的技术咨询服务。</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sz w:val="24"/>
              </w:rPr>
              <w:t>9.2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rPr>
            </w:pPr>
            <w:r>
              <w:rPr>
                <w:rFonts w:hint="eastAsia" w:ascii="宋体" w:hAnsi="宋体"/>
                <w:color w:val="000000" w:themeColor="text1"/>
                <w:sz w:val="24"/>
                <w14:textFill>
                  <w14:solidFill>
                    <w14:schemeClr w14:val="tx1"/>
                  </w14:solidFill>
                </w14:textFill>
              </w:rPr>
              <w:t>在技术服务期间内，由询比价项目参与人负责上门提供售后技术支持。在服务期间内，服务做到</w:t>
            </w:r>
            <w:r>
              <w:rPr>
                <w:rFonts w:ascii="宋体" w:hAnsi="宋体"/>
                <w:color w:val="000000" w:themeColor="text1"/>
                <w:sz w:val="24"/>
                <w14:textFill>
                  <w14:solidFill>
                    <w14:schemeClr w14:val="tx1"/>
                  </w14:solidFill>
                </w14:textFill>
              </w:rPr>
              <w:t>4小时响应，</w:t>
            </w:r>
            <w:r>
              <w:rPr>
                <w:rFonts w:hint="eastAsia" w:ascii="宋体" w:hAnsi="宋体"/>
                <w:color w:val="000000" w:themeColor="text1"/>
                <w:sz w:val="24"/>
                <w14:textFill>
                  <w14:solidFill>
                    <w14:schemeClr w14:val="tx1"/>
                  </w14:solidFill>
                </w14:textFill>
              </w:rPr>
              <w:t>48</w:t>
            </w:r>
            <w:r>
              <w:rPr>
                <w:rFonts w:ascii="宋体" w:hAnsi="宋体"/>
                <w:color w:val="000000" w:themeColor="text1"/>
                <w:sz w:val="24"/>
                <w14:textFill>
                  <w14:solidFill>
                    <w14:schemeClr w14:val="tx1"/>
                  </w14:solidFill>
                </w14:textFill>
              </w:rPr>
              <w:t>小时到现场（或</w:t>
            </w:r>
            <w:r>
              <w:rPr>
                <w:rFonts w:hint="eastAsia" w:ascii="宋体" w:hAnsi="宋体"/>
                <w:color w:val="000000" w:themeColor="text1"/>
                <w:sz w:val="24"/>
                <w14:textFill>
                  <w14:solidFill>
                    <w14:schemeClr w14:val="tx1"/>
                  </w14:solidFill>
                </w14:textFill>
              </w:rPr>
              <w:t>一周</w:t>
            </w:r>
            <w:r>
              <w:rPr>
                <w:rFonts w:ascii="宋体" w:hAnsi="宋体"/>
                <w:color w:val="000000" w:themeColor="text1"/>
                <w:sz w:val="24"/>
                <w14:textFill>
                  <w14:solidFill>
                    <w14:schemeClr w14:val="tx1"/>
                  </w14:solidFill>
                </w14:textFill>
              </w:rPr>
              <w:t>解决问题）</w:t>
            </w:r>
            <w:r>
              <w:rPr>
                <w:rFonts w:hint="eastAsia" w:ascii="宋体" w:hAnsi="宋体"/>
                <w:color w:val="000000" w:themeColor="text1"/>
                <w:sz w:val="24"/>
                <w14:textFill>
                  <w14:solidFill>
                    <w14:schemeClr w14:val="tx1"/>
                  </w14:solidFill>
                </w14:textFill>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color w:val="000000" w:themeColor="text1"/>
                <w:sz w:val="24"/>
                <w14:textFill>
                  <w14:solidFill>
                    <w14:schemeClr w14:val="tx1"/>
                  </w14:solidFill>
                </w14:textFill>
              </w:rPr>
            </w:pPr>
            <w:r>
              <w:rPr>
                <w:rFonts w:hint="eastAsia" w:ascii="宋体" w:hAnsi="宋体"/>
                <w:sz w:val="24"/>
              </w:rPr>
              <w:t>9.3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技术服务期间外，询比价项目参与人应承诺服务质量不变，询比价项目参与人免费提供招标方因需求变化而进行的技术微调或工艺优化服务，当涉及工艺技术重大升级或功能模块增加等产生实际费用事宜，双方应友好洽商，且投标方承诺给予招标方最优惠的报价。</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sz w:val="24"/>
              </w:rPr>
              <w:t>9</w:t>
            </w:r>
            <w:r>
              <w:rPr>
                <w:rFonts w:ascii="宋体" w:hAnsi="宋体"/>
                <w:sz w:val="24"/>
              </w:rPr>
              <w:t>.</w:t>
            </w:r>
            <w:r>
              <w:rPr>
                <w:rFonts w:hint="eastAsia" w:ascii="宋体" w:hAnsi="宋体"/>
                <w:sz w:val="24"/>
              </w:rPr>
              <w:t>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提供针对数据模型构建与维护的培训。在项目结束前，保证招标方关键用户熟练操作。</w:t>
            </w:r>
          </w:p>
        </w:tc>
      </w:tr>
      <w:tr>
        <w:tblPrEx>
          <w:tblCellMar>
            <w:top w:w="0" w:type="dxa"/>
            <w:left w:w="108" w:type="dxa"/>
            <w:bottom w:w="0" w:type="dxa"/>
            <w:right w:w="108" w:type="dxa"/>
          </w:tblCellMar>
        </w:tblPrEx>
        <w:trPr>
          <w:trHeight w:val="20"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6</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sz w:val="24"/>
              </w:rPr>
              <w:t>询比价项目参与人负责在招标方现场培训、指导、交流期间</w:t>
            </w:r>
            <w:r>
              <w:rPr>
                <w:rFonts w:ascii="宋体" w:hAnsi="宋体"/>
                <w:sz w:val="24"/>
              </w:rPr>
              <w:t>所发生费用（含往返机票、食宿、交通等）全部自理</w:t>
            </w:r>
            <w:r>
              <w:rPr>
                <w:rFonts w:hint="eastAsia" w:ascii="宋体" w:hAnsi="宋体"/>
                <w:sz w:val="24"/>
                <w:lang w:eastAsia="zh-CN"/>
              </w:rPr>
              <w:t>。</w:t>
            </w:r>
          </w:p>
        </w:tc>
      </w:tr>
      <w:tr>
        <w:tblPrEx>
          <w:tblCellMar>
            <w:top w:w="0" w:type="dxa"/>
            <w:left w:w="108" w:type="dxa"/>
            <w:bottom w:w="0" w:type="dxa"/>
            <w:right w:w="108" w:type="dxa"/>
          </w:tblCellMar>
        </w:tblPrEx>
        <w:trPr>
          <w:trHeight w:val="429"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b/>
                <w:sz w:val="24"/>
              </w:rPr>
              <w:t>10</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left="210" w:leftChars="100"/>
              <w:rPr>
                <w:rFonts w:ascii="宋体" w:hAnsi="宋体"/>
                <w:color w:val="000000" w:themeColor="text1"/>
                <w:sz w:val="24"/>
                <w14:textFill>
                  <w14:solidFill>
                    <w14:schemeClr w14:val="tx1"/>
                  </w14:solidFill>
                </w14:textFill>
              </w:rPr>
            </w:pPr>
            <w:r>
              <w:rPr>
                <w:rFonts w:hint="eastAsia" w:ascii="宋体" w:hAnsi="宋体"/>
                <w:b/>
                <w:bCs/>
                <w:sz w:val="24"/>
              </w:rPr>
              <w:t>验收要求：</w:t>
            </w:r>
          </w:p>
        </w:tc>
      </w:tr>
      <w:tr>
        <w:tblPrEx>
          <w:tblCellMar>
            <w:top w:w="0" w:type="dxa"/>
            <w:left w:w="108" w:type="dxa"/>
            <w:bottom w:w="0" w:type="dxa"/>
            <w:right w:w="108" w:type="dxa"/>
          </w:tblCellMar>
        </w:tblPrEx>
        <w:trPr>
          <w:trHeight w:val="412"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10</w:t>
            </w:r>
            <w:r>
              <w:rPr>
                <w:rFonts w:ascii="宋体" w:hAnsi="宋体"/>
                <w:sz w:val="24"/>
              </w:rPr>
              <w:t>.1</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sz w:val="24"/>
              </w:rPr>
              <w:t>当完成项目技术研究内容后，依据约定的时间，买卖双方依据项目需求共同进行项目结题验收、评审。如用户发现所提供技术服务的技术指标不符合合同要求时，用户有权向卖方提出更换及索赔要求</w:t>
            </w:r>
            <w:r>
              <w:rPr>
                <w:rFonts w:hint="eastAsia" w:ascii="宋体" w:hAnsi="宋体"/>
                <w:sz w:val="24"/>
                <w:lang w:eastAsia="zh-CN"/>
              </w:rPr>
              <w:t>。</w:t>
            </w:r>
          </w:p>
        </w:tc>
      </w:tr>
      <w:tr>
        <w:tblPrEx>
          <w:tblCellMar>
            <w:top w:w="0" w:type="dxa"/>
            <w:left w:w="108" w:type="dxa"/>
            <w:bottom w:w="0" w:type="dxa"/>
            <w:right w:w="108" w:type="dxa"/>
          </w:tblCellMar>
        </w:tblPrEx>
        <w:trPr>
          <w:trHeight w:val="266"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10</w:t>
            </w:r>
            <w:r>
              <w:rPr>
                <w:rFonts w:ascii="宋体" w:hAnsi="宋体"/>
                <w:sz w:val="24"/>
              </w:rPr>
              <w:t>.2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项目验收由招标方组织，招标方按相关合同及技术协议内容中约定的技术指标对中标人提供的项目交付物和项目完成情况进行评价验收，由验收小组出具相应的验项目总结验收报告，并组织验收评审</w:t>
            </w:r>
            <w:r>
              <w:rPr>
                <w:rFonts w:hint="eastAsia" w:ascii="宋体" w:hAnsi="宋体"/>
                <w:color w:val="000000" w:themeColor="text1"/>
                <w:sz w:val="24"/>
                <w:lang w:eastAsia="zh-CN"/>
                <w14:textFill>
                  <w14:solidFill>
                    <w14:schemeClr w14:val="tx1"/>
                  </w14:solidFill>
                </w14:textFill>
              </w:rPr>
              <w:t>。</w:t>
            </w:r>
          </w:p>
        </w:tc>
      </w:tr>
      <w:tr>
        <w:tblPrEx>
          <w:tblCellMar>
            <w:top w:w="0" w:type="dxa"/>
            <w:left w:w="108" w:type="dxa"/>
            <w:bottom w:w="0" w:type="dxa"/>
            <w:right w:w="108" w:type="dxa"/>
          </w:tblCellMar>
        </w:tblPrEx>
        <w:trPr>
          <w:trHeight w:val="418"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*10</w:t>
            </w:r>
            <w:r>
              <w:rPr>
                <w:rFonts w:ascii="宋体" w:hAnsi="宋体"/>
                <w:sz w:val="24"/>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验收前交付物为最终可考核的软硬件成果，形式、数量如下:</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典型场景对应的工艺知识图谱不少于10份</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工艺与仿真数据标准，不少于2份</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技术报告，不少于1份</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申请国家发明专利，不少于1件</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申请软件著作权，不少于1项</w:t>
            </w:r>
          </w:p>
          <w:p>
            <w:pPr>
              <w:pStyle w:val="74"/>
              <w:numPr>
                <w:ilvl w:val="0"/>
                <w:numId w:val="9"/>
              </w:numPr>
              <w:snapToGrid w:val="0"/>
              <w:spacing w:line="480" w:lineRule="exact"/>
              <w:ind w:left="237" w:leftChars="113" w:firstLineChars="0"/>
              <w:rPr>
                <w:rFonts w:hint="eastAsia" w:ascii="宋体" w:hAnsi="宋体"/>
                <w:sz w:val="24"/>
                <w:lang w:val="en-US" w:eastAsia="zh-CN"/>
              </w:rPr>
            </w:pPr>
            <w:r>
              <w:rPr>
                <w:rFonts w:hint="eastAsia" w:ascii="宋体" w:hAnsi="宋体"/>
                <w:sz w:val="24"/>
                <w:lang w:val="en-US" w:eastAsia="zh-CN"/>
              </w:rPr>
              <w:t>验收文档，不少于1套</w:t>
            </w:r>
          </w:p>
          <w:p>
            <w:pPr>
              <w:pStyle w:val="74"/>
              <w:numPr>
                <w:ilvl w:val="0"/>
                <w:numId w:val="9"/>
              </w:numPr>
              <w:snapToGrid w:val="0"/>
              <w:spacing w:line="480" w:lineRule="exact"/>
              <w:ind w:left="237" w:leftChars="113" w:firstLineChars="0"/>
              <w:rPr>
                <w:rFonts w:ascii="宋体" w:hAnsi="宋体"/>
                <w:color w:val="000000" w:themeColor="text1"/>
                <w:sz w:val="24"/>
                <w14:textFill>
                  <w14:solidFill>
                    <w14:schemeClr w14:val="tx1"/>
                  </w14:solidFill>
                </w14:textFill>
              </w:rPr>
            </w:pPr>
            <w:r>
              <w:rPr>
                <w:rFonts w:hint="eastAsia" w:ascii="宋体" w:hAnsi="宋体"/>
                <w:sz w:val="24"/>
                <w:lang w:val="en-US" w:eastAsia="zh-CN"/>
              </w:rPr>
              <w:t>切削工艺知识库原型系统（代码）不少于1套</w:t>
            </w:r>
          </w:p>
        </w:tc>
      </w:tr>
      <w:tr>
        <w:tblPrEx>
          <w:tblCellMar>
            <w:top w:w="0" w:type="dxa"/>
            <w:left w:w="108" w:type="dxa"/>
            <w:bottom w:w="0" w:type="dxa"/>
            <w:right w:w="108" w:type="dxa"/>
          </w:tblCellMar>
        </w:tblPrEx>
        <w:trPr>
          <w:trHeight w:val="419"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10.4</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left="210" w:leftChars="100"/>
              <w:rPr>
                <w:rFonts w:ascii="宋体" w:hAnsi="宋体"/>
                <w:sz w:val="24"/>
              </w:rPr>
            </w:pPr>
            <w:r>
              <w:rPr>
                <w:rFonts w:hint="eastAsia" w:ascii="宋体" w:hAnsi="宋体"/>
                <w:sz w:val="24"/>
              </w:rPr>
              <w:t>验收地点：四川省成都市新都区蜀龙大道南段成发工业园</w:t>
            </w:r>
          </w:p>
        </w:tc>
      </w:tr>
      <w:tr>
        <w:tblPrEx>
          <w:tblCellMar>
            <w:top w:w="0" w:type="dxa"/>
            <w:left w:w="108" w:type="dxa"/>
            <w:bottom w:w="0" w:type="dxa"/>
            <w:right w:w="108" w:type="dxa"/>
          </w:tblCellMar>
        </w:tblPrEx>
        <w:trPr>
          <w:trHeight w:val="416"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11</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left="210" w:leftChars="100"/>
              <w:rPr>
                <w:rFonts w:ascii="宋体" w:hAnsi="宋体"/>
                <w:color w:val="000000" w:themeColor="text1"/>
                <w:sz w:val="24"/>
                <w14:textFill>
                  <w14:solidFill>
                    <w14:schemeClr w14:val="tx1"/>
                  </w14:solidFill>
                </w14:textFill>
              </w:rPr>
            </w:pPr>
            <w:r>
              <w:rPr>
                <w:rFonts w:hint="eastAsia" w:ascii="Calibri" w:hAnsi="Calibri"/>
                <w:color w:val="111111"/>
                <w:sz w:val="24"/>
              </w:rPr>
              <w:t>本项目科技成果的知识产权必须归属中国航发成发或航发科技。</w:t>
            </w:r>
          </w:p>
        </w:tc>
      </w:tr>
      <w:tr>
        <w:tblPrEx>
          <w:tblCellMar>
            <w:top w:w="0" w:type="dxa"/>
            <w:left w:w="108" w:type="dxa"/>
            <w:bottom w:w="0" w:type="dxa"/>
            <w:right w:w="108" w:type="dxa"/>
          </w:tblCellMar>
        </w:tblPrEx>
        <w:trPr>
          <w:trHeight w:val="352"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40" w:firstLineChars="100"/>
              <w:rPr>
                <w:rFonts w:ascii="宋体" w:hAnsi="宋体"/>
                <w:color w:val="000000" w:themeColor="text1"/>
                <w:sz w:val="24"/>
                <w14:textFill>
                  <w14:solidFill>
                    <w14:schemeClr w14:val="tx1"/>
                  </w14:solidFill>
                </w14:textFill>
              </w:rPr>
            </w:pPr>
            <w:r>
              <w:rPr>
                <w:rFonts w:hint="eastAsia" w:ascii="Calibri" w:hAnsi="Calibri"/>
                <w:color w:val="111111"/>
                <w:sz w:val="24"/>
              </w:rPr>
              <w:t>合作单位及其人员依据本项目成果申报奖项需由中国航发成都发动机有限公司或中国航发航空科技有限公司审核。</w:t>
            </w:r>
          </w:p>
        </w:tc>
      </w:tr>
      <w:tr>
        <w:tblPrEx>
          <w:tblCellMar>
            <w:top w:w="0" w:type="dxa"/>
            <w:left w:w="108" w:type="dxa"/>
            <w:bottom w:w="0" w:type="dxa"/>
            <w:right w:w="108" w:type="dxa"/>
          </w:tblCellMar>
        </w:tblPrEx>
        <w:trPr>
          <w:trHeight w:val="541"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13</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41" w:firstLineChars="100"/>
              <w:rPr>
                <w:rFonts w:ascii="宋体" w:hAnsi="宋体" w:eastAsiaTheme="minorEastAsia"/>
                <w:sz w:val="24"/>
              </w:rPr>
            </w:pPr>
            <w:r>
              <w:rPr>
                <w:rFonts w:hint="eastAsia" w:eastAsiaTheme="minorEastAsia"/>
                <w:b/>
                <w:sz w:val="24"/>
              </w:rPr>
              <w:t>询比价项目参与人必须对本标书技术条款作出技术参数偏离表和对一些技术要求的承诺表态，任何对具体内容回避答复或不响应，都可视为对该条款的偏离。</w:t>
            </w:r>
          </w:p>
        </w:tc>
      </w:tr>
      <w:tr>
        <w:tblPrEx>
          <w:tblCellMar>
            <w:top w:w="0" w:type="dxa"/>
            <w:left w:w="108" w:type="dxa"/>
            <w:bottom w:w="0" w:type="dxa"/>
            <w:right w:w="108" w:type="dxa"/>
          </w:tblCellMar>
        </w:tblPrEx>
        <w:trPr>
          <w:trHeight w:val="541" w:hRule="atLeast"/>
        </w:trPr>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exact"/>
              <w:rPr>
                <w:rFonts w:ascii="宋体" w:hAnsi="宋体"/>
                <w:sz w:val="24"/>
              </w:rPr>
            </w:pPr>
            <w:r>
              <w:rPr>
                <w:rFonts w:hint="eastAsia" w:ascii="宋体" w:hAnsi="宋体"/>
                <w:sz w:val="24"/>
              </w:rPr>
              <w:t>14</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241" w:firstLineChars="100"/>
              <w:rPr>
                <w:rFonts w:ascii="宋体" w:hAnsi="宋体"/>
                <w:sz w:val="24"/>
              </w:rPr>
            </w:pPr>
            <w:r>
              <w:rPr>
                <w:rFonts w:hint="eastAsia" w:ascii="宋体" w:hAnsi="宋体"/>
                <w:b/>
                <w:sz w:val="24"/>
              </w:rPr>
              <w:t>投标书应以中文编写，签字，投标书应有中文目录，内容按目录顺序汇册。</w:t>
            </w:r>
          </w:p>
        </w:tc>
      </w:tr>
    </w:tbl>
    <w:p/>
    <w:p/>
    <w:p/>
    <w:p>
      <w:pPr>
        <w:widowControl/>
        <w:jc w:val="left"/>
      </w:pPr>
      <w:r>
        <w:br w:type="page"/>
      </w:r>
    </w:p>
    <w:p/>
    <w:p>
      <w:pPr>
        <w:pStyle w:val="2"/>
        <w:numPr>
          <w:ilvl w:val="0"/>
          <w:numId w:val="0"/>
        </w:numPr>
        <w:ind w:left="480"/>
        <w:jc w:val="center"/>
      </w:pPr>
      <w:r>
        <w:rPr>
          <w:rFonts w:hint="eastAsia"/>
        </w:rPr>
        <w:t>第</w:t>
      </w:r>
      <w:r>
        <w:rPr>
          <w:rFonts w:hint="eastAsia"/>
          <w:color w:val="000000" w:themeColor="text1"/>
          <w14:textFill>
            <w14:solidFill>
              <w14:schemeClr w14:val="tx1"/>
            </w14:solidFill>
          </w14:textFill>
        </w:rPr>
        <w:t>四部</w:t>
      </w:r>
      <w:r>
        <w:rPr>
          <w:rFonts w:hint="eastAsia"/>
        </w:rPr>
        <w:t>分附件</w:t>
      </w:r>
    </w:p>
    <w:p>
      <w:pPr>
        <w:pStyle w:val="3"/>
      </w:pPr>
      <w:r>
        <w:rPr>
          <w:rFonts w:hint="eastAsia"/>
        </w:rPr>
        <w:t>附件</w:t>
      </w:r>
      <w:r>
        <w:t>1</w:t>
      </w:r>
      <w:r>
        <w:rPr>
          <w:rFonts w:hint="eastAsia"/>
        </w:rPr>
        <w:t>：</w:t>
      </w:r>
    </w:p>
    <w:p>
      <w:pPr>
        <w:spacing w:line="400" w:lineRule="exact"/>
        <w:ind w:firstLine="602" w:firstLineChars="200"/>
        <w:jc w:val="center"/>
        <w:rPr>
          <w:b/>
          <w:spacing w:val="10"/>
          <w:sz w:val="28"/>
          <w:szCs w:val="28"/>
        </w:rPr>
      </w:pPr>
      <w:r>
        <w:rPr>
          <w:rFonts w:hint="eastAsia"/>
          <w:b/>
          <w:spacing w:val="10"/>
          <w:sz w:val="28"/>
          <w:szCs w:val="28"/>
        </w:rPr>
        <w:t>询比价书</w:t>
      </w:r>
    </w:p>
    <w:p>
      <w:pPr>
        <w:spacing w:line="400" w:lineRule="exact"/>
        <w:rPr>
          <w:spacing w:val="10"/>
          <w:sz w:val="24"/>
        </w:rPr>
      </w:pPr>
    </w:p>
    <w:p>
      <w:pPr>
        <w:spacing w:line="400" w:lineRule="exact"/>
        <w:rPr>
          <w:spacing w:val="10"/>
          <w:sz w:val="24"/>
        </w:rPr>
      </w:pPr>
      <w:r>
        <w:rPr>
          <w:rFonts w:hint="eastAsia"/>
          <w:spacing w:val="10"/>
          <w:sz w:val="24"/>
        </w:rPr>
        <w:t>致：</w:t>
      </w:r>
      <w:r>
        <w:rPr>
          <w:rFonts w:hint="eastAsia" w:ascii="宋体" w:hAnsi="宋体" w:cs="宋体"/>
          <w:kern w:val="0"/>
          <w:sz w:val="24"/>
        </w:rPr>
        <w:t>中国航发航空科技股份有限公司</w:t>
      </w:r>
      <w:r>
        <w:rPr>
          <w:rFonts w:hint="eastAsia"/>
          <w:spacing w:val="10"/>
          <w:sz w:val="24"/>
        </w:rPr>
        <w:t>：</w:t>
      </w:r>
    </w:p>
    <w:p>
      <w:pPr>
        <w:spacing w:line="400" w:lineRule="exact"/>
        <w:ind w:firstLine="520" w:firstLineChars="20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项目询比价采购项目及服务的询价单</w:t>
      </w:r>
    </w:p>
    <w:p>
      <w:pPr>
        <w:spacing w:line="400" w:lineRule="exact"/>
        <w:ind w:firstLine="260" w:firstLineChars="10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经正式授权并代表询比价项目参与人（询比价项目参与人名称、地址）对项目进行询比价。为此，我们提交：</w:t>
      </w:r>
    </w:p>
    <w:p>
      <w:pPr>
        <w:spacing w:line="400" w:lineRule="exact"/>
        <w:ind w:firstLine="520" w:firstLineChars="200"/>
        <w:rPr>
          <w:spacing w:val="10"/>
          <w:sz w:val="24"/>
        </w:rPr>
      </w:pPr>
      <w:r>
        <w:rPr>
          <w:rFonts w:hint="eastAsia"/>
          <w:spacing w:val="10"/>
          <w:sz w:val="24"/>
        </w:rPr>
        <w:t>据此函，签字代表宣布同意如下：</w:t>
      </w:r>
    </w:p>
    <w:p>
      <w:pPr>
        <w:spacing w:line="400" w:lineRule="exact"/>
        <w:ind w:firstLine="520" w:firstLineChars="200"/>
        <w:rPr>
          <w:spacing w:val="10"/>
          <w:sz w:val="24"/>
        </w:rPr>
      </w:pPr>
      <w:r>
        <w:rPr>
          <w:rFonts w:hint="eastAsia"/>
          <w:spacing w:val="10"/>
          <w:sz w:val="24"/>
        </w:rPr>
        <w:t>1.所附开标一览表中规定的应提供和交付的项目询比价总价为</w:t>
      </w:r>
    </w:p>
    <w:p>
      <w:pPr>
        <w:spacing w:line="400" w:lineRule="exact"/>
        <w:ind w:firstLine="520" w:firstLineChars="200"/>
        <w:rPr>
          <w:spacing w:val="10"/>
          <w:sz w:val="24"/>
        </w:rPr>
      </w:pPr>
      <w:r>
        <w:rPr>
          <w:rFonts w:hint="eastAsia"/>
          <w:spacing w:val="10"/>
          <w:sz w:val="24"/>
        </w:rPr>
        <w:t>（注明币种），即（大写）</w:t>
      </w:r>
    </w:p>
    <w:p>
      <w:pPr>
        <w:spacing w:line="400" w:lineRule="exact"/>
        <w:ind w:firstLine="520" w:firstLineChars="200"/>
        <w:rPr>
          <w:spacing w:val="10"/>
          <w:sz w:val="24"/>
        </w:rPr>
      </w:pPr>
      <w:r>
        <w:rPr>
          <w:rFonts w:hint="eastAsia"/>
          <w:spacing w:val="10"/>
          <w:sz w:val="24"/>
        </w:rPr>
        <w:t>2.询比价项目参与人将按投标文件的规定履行合同责任和义务。</w:t>
      </w:r>
    </w:p>
    <w:p>
      <w:pPr>
        <w:spacing w:line="400" w:lineRule="exact"/>
        <w:ind w:firstLine="520" w:firstLineChars="200"/>
        <w:rPr>
          <w:spacing w:val="10"/>
          <w:sz w:val="24"/>
        </w:rPr>
      </w:pPr>
      <w:r>
        <w:rPr>
          <w:rFonts w:hint="eastAsia"/>
          <w:spacing w:val="10"/>
          <w:sz w:val="24"/>
        </w:rPr>
        <w:t>3.询比价项目参与人已详细审查全部投标文件，包括修改文件（如果有的话）以及全部参考资料和有关附件。我们完全理解并同意放弃对这方面有不明及误解的权力。</w:t>
      </w:r>
    </w:p>
    <w:p>
      <w:pPr>
        <w:spacing w:line="400" w:lineRule="exact"/>
        <w:ind w:firstLine="520" w:firstLineChars="200"/>
        <w:rPr>
          <w:spacing w:val="10"/>
          <w:sz w:val="24"/>
        </w:rPr>
      </w:pPr>
      <w:r>
        <w:rPr>
          <w:rFonts w:hint="eastAsia"/>
          <w:spacing w:val="10"/>
          <w:sz w:val="24"/>
        </w:rPr>
        <w:t>4.其询比价自询比价日起有效期为个日历日。</w:t>
      </w:r>
    </w:p>
    <w:p>
      <w:pPr>
        <w:spacing w:line="400" w:lineRule="exact"/>
        <w:ind w:firstLine="520" w:firstLineChars="200"/>
        <w:rPr>
          <w:spacing w:val="10"/>
          <w:sz w:val="24"/>
        </w:rPr>
      </w:pPr>
      <w:r>
        <w:rPr>
          <w:rFonts w:hint="eastAsia"/>
          <w:spacing w:val="10"/>
          <w:sz w:val="24"/>
        </w:rPr>
        <w:t>5.询比价项目参与人同意提供按照贵方可能要求的与其询比价有关的一切数据或资料，完全理解不一定要接受最低价的投标。</w:t>
      </w:r>
    </w:p>
    <w:p>
      <w:pPr>
        <w:spacing w:line="400" w:lineRule="exact"/>
        <w:ind w:firstLine="520" w:firstLineChars="200"/>
        <w:rPr>
          <w:spacing w:val="10"/>
          <w:sz w:val="24"/>
        </w:rPr>
      </w:pPr>
      <w:r>
        <w:rPr>
          <w:rFonts w:hint="eastAsia"/>
          <w:spacing w:val="10"/>
          <w:sz w:val="24"/>
        </w:rPr>
        <w:t>6.同意向贵方提供贵方可能要求的与本询比价有关的任何证据和资料。</w:t>
      </w:r>
    </w:p>
    <w:p>
      <w:pPr>
        <w:spacing w:line="400" w:lineRule="exact"/>
        <w:ind w:firstLine="520" w:firstLineChars="200"/>
        <w:rPr>
          <w:spacing w:val="10"/>
          <w:sz w:val="24"/>
        </w:rPr>
      </w:pPr>
      <w:r>
        <w:rPr>
          <w:rFonts w:hint="eastAsia"/>
          <w:spacing w:val="10"/>
          <w:sz w:val="24"/>
        </w:rPr>
        <w:t>与本询比价有关的一切正式往来通讯请寄：</w:t>
      </w:r>
    </w:p>
    <w:p>
      <w:pPr>
        <w:spacing w:line="400" w:lineRule="exact"/>
        <w:rPr>
          <w:spacing w:val="10"/>
          <w:sz w:val="24"/>
        </w:rPr>
      </w:pPr>
      <w:r>
        <w:rPr>
          <w:rFonts w:hint="eastAsia"/>
          <w:spacing w:val="10"/>
          <w:sz w:val="24"/>
        </w:rPr>
        <w:t>地址邮编</w:t>
      </w:r>
    </w:p>
    <w:p>
      <w:pPr>
        <w:spacing w:line="400" w:lineRule="exact"/>
        <w:rPr>
          <w:spacing w:val="10"/>
          <w:sz w:val="24"/>
          <w:u w:val="single"/>
        </w:rPr>
      </w:pPr>
      <w:r>
        <w:rPr>
          <w:rFonts w:hint="eastAsia"/>
          <w:spacing w:val="10"/>
          <w:sz w:val="24"/>
        </w:rPr>
        <w:t>电话传真</w:t>
      </w:r>
    </w:p>
    <w:p>
      <w:pPr>
        <w:spacing w:line="400" w:lineRule="exact"/>
        <w:rPr>
          <w:spacing w:val="10"/>
          <w:sz w:val="24"/>
          <w:u w:val="single"/>
        </w:rPr>
      </w:pPr>
    </w:p>
    <w:p>
      <w:pPr>
        <w:spacing w:line="400" w:lineRule="exact"/>
        <w:rPr>
          <w:spacing w:val="10"/>
          <w:sz w:val="24"/>
        </w:rPr>
      </w:pPr>
      <w:r>
        <w:rPr>
          <w:rFonts w:hint="eastAsia"/>
          <w:spacing w:val="10"/>
          <w:sz w:val="24"/>
        </w:rPr>
        <w:t>询比价项目参与人开户银行和账号：</w:t>
      </w:r>
    </w:p>
    <w:p>
      <w:pPr>
        <w:spacing w:line="400" w:lineRule="exact"/>
        <w:rPr>
          <w:spacing w:val="10"/>
          <w:sz w:val="24"/>
        </w:rPr>
      </w:pPr>
      <w:r>
        <w:rPr>
          <w:rFonts w:hint="eastAsia"/>
          <w:spacing w:val="10"/>
          <w:sz w:val="24"/>
        </w:rPr>
        <w:t>询比价项目参与人代表姓名、职务（印刷体）：</w:t>
      </w:r>
    </w:p>
    <w:p>
      <w:pPr>
        <w:spacing w:line="400" w:lineRule="exact"/>
        <w:rPr>
          <w:spacing w:val="10"/>
          <w:sz w:val="24"/>
          <w:u w:val="single"/>
        </w:rPr>
      </w:pPr>
      <w:r>
        <w:rPr>
          <w:rFonts w:hint="eastAsia"/>
          <w:spacing w:val="10"/>
          <w:sz w:val="24"/>
        </w:rPr>
        <w:t>询比价项目参与人名称：</w:t>
      </w:r>
      <w:bookmarkStart w:id="2" w:name="OLE_LINK4"/>
      <w:bookmarkEnd w:id="2"/>
      <w:bookmarkStart w:id="3" w:name="OLE_LINK3"/>
      <w:bookmarkEnd w:id="3"/>
    </w:p>
    <w:p>
      <w:pPr>
        <w:spacing w:line="400" w:lineRule="exact"/>
        <w:rPr>
          <w:spacing w:val="10"/>
          <w:sz w:val="24"/>
        </w:rPr>
      </w:pPr>
      <w:r>
        <w:rPr>
          <w:rFonts w:hint="eastAsia"/>
          <w:spacing w:val="10"/>
          <w:sz w:val="24"/>
        </w:rPr>
        <w:t>（公章）</w:t>
      </w:r>
    </w:p>
    <w:p>
      <w:pPr>
        <w:spacing w:line="400" w:lineRule="exact"/>
        <w:rPr>
          <w:spacing w:val="10"/>
          <w:sz w:val="24"/>
        </w:rPr>
      </w:pPr>
      <w:r>
        <w:rPr>
          <w:rFonts w:hint="eastAsia"/>
          <w:spacing w:val="10"/>
          <w:sz w:val="24"/>
        </w:rPr>
        <w:t>日期：年月日</w:t>
      </w:r>
    </w:p>
    <w:p>
      <w:pPr>
        <w:spacing w:line="400" w:lineRule="exact"/>
        <w:rPr>
          <w:spacing w:val="10"/>
          <w:sz w:val="24"/>
        </w:rPr>
      </w:pPr>
    </w:p>
    <w:p>
      <w:pPr>
        <w:spacing w:line="400" w:lineRule="exact"/>
        <w:rPr>
          <w:spacing w:val="10"/>
          <w:sz w:val="24"/>
        </w:rPr>
      </w:pPr>
      <w:r>
        <w:rPr>
          <w:rFonts w:hint="eastAsia"/>
          <w:spacing w:val="10"/>
          <w:sz w:val="24"/>
        </w:rPr>
        <w:t>授权代表签字：</w:t>
      </w:r>
    </w:p>
    <w:p>
      <w:pPr>
        <w:widowControl/>
        <w:jc w:val="left"/>
        <w:rPr>
          <w:spacing w:val="10"/>
          <w:sz w:val="24"/>
        </w:rPr>
      </w:pPr>
      <w:r>
        <w:rPr>
          <w:spacing w:val="10"/>
          <w:sz w:val="24"/>
        </w:rPr>
        <w:br w:type="page"/>
      </w:r>
    </w:p>
    <w:p>
      <w:pPr>
        <w:pStyle w:val="3"/>
      </w:pPr>
      <w:r>
        <w:rPr>
          <w:rFonts w:hint="eastAsia"/>
        </w:rPr>
        <w:t>附件2：</w:t>
      </w:r>
    </w:p>
    <w:p>
      <w:pPr>
        <w:spacing w:line="400" w:lineRule="exact"/>
        <w:ind w:firstLine="602" w:firstLineChars="200"/>
        <w:jc w:val="center"/>
        <w:rPr>
          <w:b/>
          <w:spacing w:val="10"/>
          <w:sz w:val="28"/>
          <w:szCs w:val="28"/>
        </w:rPr>
      </w:pPr>
      <w:r>
        <w:rPr>
          <w:rFonts w:hint="eastAsia"/>
          <w:b/>
          <w:spacing w:val="10"/>
          <w:sz w:val="28"/>
          <w:szCs w:val="28"/>
        </w:rPr>
        <w:t>开标一览表</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询比价项目参与人名称：</w:t>
      </w:r>
    </w:p>
    <w:p>
      <w:pPr>
        <w:spacing w:line="400" w:lineRule="exact"/>
        <w:rPr>
          <w:spacing w:val="10"/>
          <w:sz w:val="24"/>
          <w:u w:val="single"/>
        </w:rPr>
      </w:pPr>
      <w:r>
        <w:rPr>
          <w:rFonts w:hint="eastAsia"/>
          <w:spacing w:val="10"/>
          <w:sz w:val="24"/>
        </w:rPr>
        <w:t>询比价编号：</w:t>
      </w:r>
    </w:p>
    <w:p>
      <w:pPr>
        <w:spacing w:line="400" w:lineRule="exact"/>
        <w:rPr>
          <w:spacing w:val="10"/>
          <w:sz w:val="24"/>
          <w:u w:val="single"/>
        </w:rPr>
      </w:pPr>
    </w:p>
    <w:p>
      <w:pPr>
        <w:spacing w:line="400" w:lineRule="exact"/>
        <w:rPr>
          <w:spacing w:val="10"/>
          <w:sz w:val="24"/>
          <w:u w:val="singl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085"/>
        <w:gridCol w:w="843"/>
        <w:gridCol w:w="2289"/>
        <w:gridCol w:w="96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43" w:type="pct"/>
            <w:vMerge w:val="restart"/>
            <w:vAlign w:val="center"/>
          </w:tcPr>
          <w:p>
            <w:pPr>
              <w:spacing w:line="400" w:lineRule="exact"/>
              <w:jc w:val="center"/>
              <w:rPr>
                <w:spacing w:val="10"/>
                <w:sz w:val="24"/>
              </w:rPr>
            </w:pPr>
            <w:r>
              <w:rPr>
                <w:rFonts w:hint="eastAsia"/>
                <w:spacing w:val="10"/>
                <w:sz w:val="24"/>
              </w:rPr>
              <w:t>项目名称</w:t>
            </w:r>
          </w:p>
        </w:tc>
        <w:tc>
          <w:tcPr>
            <w:tcW w:w="636" w:type="pct"/>
            <w:vMerge w:val="restart"/>
            <w:vAlign w:val="center"/>
          </w:tcPr>
          <w:p>
            <w:pPr>
              <w:spacing w:line="400" w:lineRule="exact"/>
              <w:jc w:val="center"/>
              <w:rPr>
                <w:spacing w:val="10"/>
                <w:sz w:val="24"/>
              </w:rPr>
            </w:pPr>
            <w:r>
              <w:rPr>
                <w:rFonts w:hint="eastAsia"/>
                <w:spacing w:val="10"/>
                <w:sz w:val="24"/>
              </w:rPr>
              <w:t>型号</w:t>
            </w:r>
          </w:p>
          <w:p>
            <w:pPr>
              <w:spacing w:line="400" w:lineRule="exact"/>
              <w:jc w:val="center"/>
              <w:rPr>
                <w:spacing w:val="10"/>
                <w:sz w:val="24"/>
              </w:rPr>
            </w:pPr>
            <w:r>
              <w:rPr>
                <w:rFonts w:hint="eastAsia"/>
                <w:spacing w:val="10"/>
                <w:sz w:val="24"/>
              </w:rPr>
              <w:t>规格</w:t>
            </w:r>
          </w:p>
        </w:tc>
        <w:tc>
          <w:tcPr>
            <w:tcW w:w="494" w:type="pct"/>
            <w:vMerge w:val="restart"/>
            <w:vAlign w:val="center"/>
          </w:tcPr>
          <w:p>
            <w:pPr>
              <w:spacing w:line="400" w:lineRule="exact"/>
              <w:jc w:val="center"/>
              <w:rPr>
                <w:spacing w:val="10"/>
                <w:sz w:val="24"/>
              </w:rPr>
            </w:pPr>
            <w:r>
              <w:rPr>
                <w:rFonts w:hint="eastAsia"/>
                <w:spacing w:val="10"/>
                <w:sz w:val="24"/>
              </w:rPr>
              <w:t>数量</w:t>
            </w:r>
          </w:p>
        </w:tc>
        <w:tc>
          <w:tcPr>
            <w:tcW w:w="1342" w:type="pct"/>
            <w:vAlign w:val="center"/>
          </w:tcPr>
          <w:p>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p>
        </w:tc>
        <w:tc>
          <w:tcPr>
            <w:tcW w:w="565" w:type="pct"/>
            <w:vMerge w:val="restart"/>
            <w:vAlign w:val="center"/>
          </w:tcPr>
          <w:p>
            <w:pPr>
              <w:spacing w:line="400" w:lineRule="exact"/>
              <w:jc w:val="center"/>
              <w:rPr>
                <w:spacing w:val="10"/>
                <w:sz w:val="24"/>
              </w:rPr>
            </w:pPr>
            <w:r>
              <w:rPr>
                <w:rFonts w:hint="eastAsia"/>
                <w:spacing w:val="10"/>
                <w:sz w:val="24"/>
              </w:rPr>
              <w:t>交货期</w:t>
            </w:r>
          </w:p>
        </w:tc>
        <w:tc>
          <w:tcPr>
            <w:tcW w:w="919" w:type="pct"/>
            <w:vMerge w:val="restart"/>
            <w:vAlign w:val="center"/>
          </w:tcPr>
          <w:p>
            <w:pPr>
              <w:spacing w:line="400" w:lineRule="exact"/>
              <w:jc w:val="center"/>
              <w:rPr>
                <w:spacing w:val="10"/>
                <w:sz w:val="24"/>
              </w:rPr>
            </w:pPr>
            <w:r>
              <w:rPr>
                <w:rFonts w:hint="eastAsia"/>
                <w:spacing w:val="10"/>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43" w:type="pct"/>
            <w:vMerge w:val="continue"/>
            <w:vAlign w:val="center"/>
          </w:tcPr>
          <w:p>
            <w:pPr>
              <w:spacing w:line="400" w:lineRule="exact"/>
              <w:jc w:val="center"/>
              <w:rPr>
                <w:spacing w:val="10"/>
                <w:sz w:val="24"/>
              </w:rPr>
            </w:pPr>
          </w:p>
        </w:tc>
        <w:tc>
          <w:tcPr>
            <w:tcW w:w="636" w:type="pct"/>
            <w:vMerge w:val="continue"/>
          </w:tcPr>
          <w:p>
            <w:pPr>
              <w:spacing w:line="400" w:lineRule="exact"/>
              <w:jc w:val="center"/>
              <w:rPr>
                <w:spacing w:val="10"/>
                <w:sz w:val="24"/>
              </w:rPr>
            </w:pPr>
          </w:p>
        </w:tc>
        <w:tc>
          <w:tcPr>
            <w:tcW w:w="494" w:type="pct"/>
            <w:vMerge w:val="continue"/>
            <w:vAlign w:val="center"/>
          </w:tcPr>
          <w:p>
            <w:pPr>
              <w:spacing w:line="400" w:lineRule="exact"/>
              <w:jc w:val="center"/>
              <w:rPr>
                <w:spacing w:val="10"/>
                <w:sz w:val="24"/>
              </w:rPr>
            </w:pPr>
          </w:p>
        </w:tc>
        <w:tc>
          <w:tcPr>
            <w:tcW w:w="1342" w:type="pct"/>
            <w:vAlign w:val="center"/>
          </w:tcPr>
          <w:p>
            <w:pPr>
              <w:spacing w:line="400" w:lineRule="exact"/>
              <w:jc w:val="center"/>
              <w:rPr>
                <w:spacing w:val="10"/>
                <w:sz w:val="24"/>
              </w:rPr>
            </w:pPr>
            <w:r>
              <w:rPr>
                <w:rFonts w:hint="eastAsia"/>
                <w:spacing w:val="10"/>
                <w:sz w:val="24"/>
              </w:rPr>
              <w:t>招标方现场价 (包括一切税费、材料费、设备费等)</w:t>
            </w:r>
          </w:p>
        </w:tc>
        <w:tc>
          <w:tcPr>
            <w:tcW w:w="565" w:type="pct"/>
            <w:vMerge w:val="continue"/>
            <w:vAlign w:val="center"/>
          </w:tcPr>
          <w:p>
            <w:pPr>
              <w:spacing w:line="400" w:lineRule="exact"/>
              <w:jc w:val="center"/>
              <w:rPr>
                <w:spacing w:val="10"/>
                <w:sz w:val="24"/>
              </w:rPr>
            </w:pPr>
          </w:p>
        </w:tc>
        <w:tc>
          <w:tcPr>
            <w:tcW w:w="919" w:type="pct"/>
            <w:vMerge w:val="continue"/>
            <w:vAlign w:val="center"/>
          </w:tcPr>
          <w:p>
            <w:pPr>
              <w:spacing w:line="400" w:lineRule="exact"/>
              <w:jc w:val="center"/>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043" w:type="pct"/>
            <w:vAlign w:val="center"/>
          </w:tcPr>
          <w:p>
            <w:pPr>
              <w:spacing w:line="400" w:lineRule="exact"/>
              <w:jc w:val="center"/>
              <w:rPr>
                <w:spacing w:val="10"/>
                <w:sz w:val="24"/>
              </w:rPr>
            </w:pPr>
            <w:r>
              <w:rPr>
                <w:rFonts w:hint="eastAsia"/>
                <w:spacing w:val="10"/>
                <w:sz w:val="24"/>
              </w:rPr>
              <w:t>XXXX</w:t>
            </w:r>
          </w:p>
        </w:tc>
        <w:tc>
          <w:tcPr>
            <w:tcW w:w="636" w:type="pct"/>
            <w:vAlign w:val="center"/>
          </w:tcPr>
          <w:p>
            <w:pPr>
              <w:spacing w:line="400" w:lineRule="exact"/>
              <w:jc w:val="center"/>
              <w:rPr>
                <w:rFonts w:hint="default" w:eastAsia="宋体"/>
                <w:spacing w:val="10"/>
                <w:sz w:val="24"/>
                <w:lang w:val="en-US" w:eastAsia="zh-CN"/>
              </w:rPr>
            </w:pPr>
            <w:r>
              <w:rPr>
                <w:rFonts w:hint="eastAsia"/>
                <w:spacing w:val="10"/>
                <w:sz w:val="24"/>
                <w:lang w:val="en-US" w:eastAsia="zh-CN"/>
              </w:rPr>
              <w:t>1套</w:t>
            </w:r>
          </w:p>
        </w:tc>
        <w:tc>
          <w:tcPr>
            <w:tcW w:w="494" w:type="pct"/>
            <w:vAlign w:val="center"/>
          </w:tcPr>
          <w:p>
            <w:pPr>
              <w:spacing w:line="400" w:lineRule="exact"/>
              <w:jc w:val="center"/>
              <w:rPr>
                <w:spacing w:val="10"/>
                <w:sz w:val="24"/>
              </w:rPr>
            </w:pPr>
            <w:r>
              <w:rPr>
                <w:rFonts w:hint="eastAsia"/>
                <w:spacing w:val="10"/>
                <w:sz w:val="24"/>
              </w:rPr>
              <w:t>1</w:t>
            </w:r>
          </w:p>
        </w:tc>
        <w:tc>
          <w:tcPr>
            <w:tcW w:w="1342" w:type="pct"/>
            <w:vAlign w:val="center"/>
          </w:tcPr>
          <w:p>
            <w:pPr>
              <w:spacing w:line="400" w:lineRule="exact"/>
              <w:jc w:val="center"/>
              <w:rPr>
                <w:color w:val="FF0000"/>
                <w:spacing w:val="10"/>
                <w:sz w:val="24"/>
              </w:rPr>
            </w:pPr>
          </w:p>
        </w:tc>
        <w:tc>
          <w:tcPr>
            <w:tcW w:w="565" w:type="pct"/>
            <w:vAlign w:val="center"/>
          </w:tcPr>
          <w:p>
            <w:pPr>
              <w:spacing w:line="400" w:lineRule="exact"/>
              <w:jc w:val="center"/>
              <w:rPr>
                <w:spacing w:val="10"/>
                <w:sz w:val="24"/>
              </w:rPr>
            </w:pPr>
          </w:p>
        </w:tc>
        <w:tc>
          <w:tcPr>
            <w:tcW w:w="919" w:type="pct"/>
            <w:vAlign w:val="center"/>
          </w:tcPr>
          <w:p>
            <w:pPr>
              <w:spacing w:line="400" w:lineRule="exact"/>
              <w:jc w:val="center"/>
              <w:rPr>
                <w:spacing w:val="10"/>
                <w:sz w:val="24"/>
              </w:rPr>
            </w:pPr>
          </w:p>
        </w:tc>
      </w:tr>
    </w:tbl>
    <w:p>
      <w:pPr>
        <w:spacing w:line="400" w:lineRule="exact"/>
        <w:rPr>
          <w:b/>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pPr>
      <w:r>
        <w:rPr>
          <w:rFonts w:hint="eastAsia"/>
        </w:rPr>
        <w:t>附件3：</w:t>
      </w:r>
    </w:p>
    <w:p>
      <w:pPr>
        <w:jc w:val="center"/>
      </w:pPr>
      <w:r>
        <w:rPr>
          <w:rFonts w:eastAsia="黑体"/>
          <w:sz w:val="32"/>
          <w:szCs w:val="32"/>
        </w:rPr>
        <w:t>项目简表</w:t>
      </w:r>
    </w:p>
    <w:tbl>
      <w:tblPr>
        <w:tblStyle w:val="28"/>
        <w:tblW w:w="501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5" w:type="pct"/>
            <w:vAlign w:val="center"/>
          </w:tcPr>
          <w:p>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pPr>
              <w:snapToGrid w:val="0"/>
              <w:spacing w:line="300" w:lineRule="auto"/>
              <w:rPr>
                <w:rFonts w:eastAsia="仿宋_GB2312"/>
                <w:szCs w:val="21"/>
              </w:rPr>
            </w:pPr>
          </w:p>
        </w:tc>
        <w:tc>
          <w:tcPr>
            <w:tcW w:w="1194" w:type="pct"/>
            <w:gridSpan w:val="4"/>
            <w:vAlign w:val="center"/>
          </w:tcPr>
          <w:p>
            <w:pPr>
              <w:snapToGrid w:val="0"/>
              <w:spacing w:line="300" w:lineRule="auto"/>
              <w:jc w:val="center"/>
              <w:rPr>
                <w:rFonts w:eastAsia="仿宋_GB2312"/>
                <w:b/>
                <w:szCs w:val="21"/>
              </w:rPr>
            </w:pPr>
            <w:r>
              <w:rPr>
                <w:rFonts w:hint="eastAsia" w:eastAsia="仿宋_GB2312"/>
                <w:b/>
                <w:szCs w:val="21"/>
              </w:rPr>
              <w:t>投标总价</w:t>
            </w:r>
            <w:r>
              <w:rPr>
                <w:rFonts w:eastAsia="仿宋_GB2312"/>
                <w:b/>
                <w:szCs w:val="21"/>
              </w:rPr>
              <w:t>(</w:t>
            </w:r>
            <w:r>
              <w:rPr>
                <w:rFonts w:hint="eastAsia" w:eastAsia="仿宋_GB2312"/>
                <w:b/>
                <w:szCs w:val="21"/>
              </w:rPr>
              <w:t>人民币)</w:t>
            </w:r>
          </w:p>
        </w:tc>
        <w:tc>
          <w:tcPr>
            <w:tcW w:w="1249" w:type="pct"/>
            <w:gridSpan w:val="4"/>
            <w:vAlign w:val="center"/>
          </w:tcPr>
          <w:p>
            <w:pPr>
              <w:snapToGrid w:val="0"/>
              <w:spacing w:line="300" w:lineRule="auto"/>
              <w:rPr>
                <w:rFonts w:eastAsia="仿宋_GB2312"/>
                <w:i/>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color="auto" w:sz="4" w:space="0"/>
            </w:tcBorders>
            <w:vAlign w:val="center"/>
          </w:tcPr>
          <w:p>
            <w:pPr>
              <w:snapToGrid w:val="0"/>
              <w:spacing w:line="300" w:lineRule="auto"/>
              <w:rPr>
                <w:rFonts w:eastAsia="仿宋_GB2312"/>
                <w:szCs w:val="21"/>
              </w:rPr>
            </w:pPr>
          </w:p>
        </w:tc>
        <w:tc>
          <w:tcPr>
            <w:tcW w:w="725" w:type="pct"/>
            <w:gridSpan w:val="3"/>
            <w:tcBorders>
              <w:left w:val="single" w:color="auto" w:sz="4" w:space="0"/>
              <w:bottom w:val="nil"/>
            </w:tcBorders>
            <w:vAlign w:val="center"/>
          </w:tcPr>
          <w:p>
            <w:pPr>
              <w:snapToGrid w:val="0"/>
              <w:spacing w:line="300" w:lineRule="auto"/>
              <w:jc w:val="center"/>
              <w:rPr>
                <w:rFonts w:eastAsia="仿宋_GB2312"/>
                <w:b/>
                <w:szCs w:val="21"/>
              </w:rPr>
            </w:pPr>
            <w:r>
              <w:rPr>
                <w:rFonts w:eastAsia="仿宋_GB2312"/>
                <w:b/>
                <w:szCs w:val="21"/>
              </w:rPr>
              <w:t>职务/职称</w:t>
            </w:r>
          </w:p>
        </w:tc>
        <w:tc>
          <w:tcPr>
            <w:tcW w:w="293" w:type="pct"/>
            <w:gridSpan w:val="2"/>
            <w:tcBorders>
              <w:bottom w:val="nil"/>
            </w:tcBorders>
            <w:vAlign w:val="center"/>
          </w:tcPr>
          <w:p>
            <w:pPr>
              <w:pStyle w:val="10"/>
              <w:keepNext/>
              <w:snapToGrid w:val="0"/>
              <w:spacing w:before="0" w:after="0" w:line="300" w:lineRule="auto"/>
              <w:rPr>
                <w:rFonts w:ascii="Times New Roman" w:hAnsi="Times New Roman" w:eastAsia="宋体"/>
                <w:szCs w:val="21"/>
              </w:rPr>
            </w:pPr>
          </w:p>
        </w:tc>
        <w:tc>
          <w:tcPr>
            <w:tcW w:w="1194" w:type="pct"/>
            <w:gridSpan w:val="4"/>
            <w:tcBorders>
              <w:bottom w:val="nil"/>
            </w:tcBorders>
            <w:vAlign w:val="center"/>
          </w:tcPr>
          <w:p>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pPr>
              <w:pStyle w:val="10"/>
              <w:keepNext/>
              <w:snapToGrid w:val="0"/>
              <w:spacing w:before="0" w:after="0" w:line="300" w:lineRule="auto"/>
              <w:rPr>
                <w:rFonts w:ascii="Times New Roman" w:hAnsi="Times New Roman" w:eastAsia="仿宋_GB2312"/>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hint="eastAsia" w:eastAsia="仿宋_GB2312"/>
                <w:b/>
                <w:szCs w:val="21"/>
              </w:rPr>
              <w:t>研究</w:t>
            </w:r>
            <w:r>
              <w:rPr>
                <w:rFonts w:eastAsia="仿宋_GB2312"/>
                <w:b/>
                <w:szCs w:val="21"/>
              </w:rPr>
              <w:t>目标</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主要研究</w:t>
            </w:r>
          </w:p>
          <w:p>
            <w:pPr>
              <w:snapToGrid w:val="0"/>
              <w:spacing w:line="300" w:lineRule="auto"/>
              <w:jc w:val="center"/>
              <w:rPr>
                <w:rFonts w:eastAsia="仿宋_GB2312"/>
                <w:b/>
                <w:szCs w:val="21"/>
              </w:rPr>
            </w:pPr>
            <w:r>
              <w:rPr>
                <w:rFonts w:eastAsia="仿宋_GB2312"/>
                <w:b/>
                <w:szCs w:val="21"/>
              </w:rPr>
              <w:t>内容</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项目关键</w:t>
            </w:r>
          </w:p>
          <w:p>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hint="eastAsia" w:eastAsia="仿宋_GB2312"/>
                <w:b/>
                <w:szCs w:val="21"/>
              </w:rPr>
              <w:t>绩效</w:t>
            </w:r>
            <w:r>
              <w:rPr>
                <w:rFonts w:eastAsia="仿宋_GB2312"/>
                <w:b/>
                <w:szCs w:val="21"/>
              </w:rPr>
              <w:t>目标</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hint="eastAsia" w:eastAsia="仿宋_GB2312"/>
                <w:b/>
                <w:szCs w:val="21"/>
              </w:rPr>
              <w:t>主要</w:t>
            </w:r>
            <w:r>
              <w:rPr>
                <w:rFonts w:eastAsia="仿宋_GB2312"/>
                <w:b/>
                <w:szCs w:val="21"/>
              </w:rPr>
              <w:t>技术</w:t>
            </w:r>
          </w:p>
          <w:p>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color="auto" w:sz="4" w:space="0"/>
            </w:tcBorders>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eastAsia="仿宋_GB2312"/>
                <w:b/>
                <w:szCs w:val="21"/>
              </w:rPr>
              <w:t>预期成果</w:t>
            </w:r>
          </w:p>
        </w:tc>
        <w:tc>
          <w:tcPr>
            <w:tcW w:w="283" w:type="pct"/>
            <w:vAlign w:val="center"/>
          </w:tcPr>
          <w:p>
            <w:pPr>
              <w:snapToGrid w:val="0"/>
              <w:spacing w:line="300" w:lineRule="auto"/>
              <w:jc w:val="center"/>
              <w:rPr>
                <w:rFonts w:eastAsia="仿宋_GB2312"/>
                <w:b/>
                <w:szCs w:val="21"/>
              </w:rPr>
            </w:pPr>
            <w:r>
              <w:rPr>
                <w:rFonts w:eastAsia="仿宋_GB2312"/>
                <w:b/>
                <w:szCs w:val="21"/>
              </w:rPr>
              <w:t>报告</w:t>
            </w:r>
          </w:p>
        </w:tc>
        <w:tc>
          <w:tcPr>
            <w:tcW w:w="433" w:type="pct"/>
            <w:vAlign w:val="center"/>
          </w:tcPr>
          <w:p>
            <w:pPr>
              <w:snapToGrid w:val="0"/>
              <w:spacing w:line="300" w:lineRule="auto"/>
              <w:jc w:val="center"/>
              <w:rPr>
                <w:rFonts w:eastAsia="仿宋_GB2312"/>
                <w:b/>
                <w:szCs w:val="21"/>
              </w:rPr>
            </w:pPr>
            <w:r>
              <w:rPr>
                <w:rFonts w:eastAsia="仿宋_GB2312"/>
                <w:b/>
                <w:szCs w:val="21"/>
              </w:rPr>
              <w:t>论文(专著)</w:t>
            </w:r>
          </w:p>
        </w:tc>
        <w:tc>
          <w:tcPr>
            <w:tcW w:w="251" w:type="pct"/>
            <w:gridSpan w:val="2"/>
            <w:vAlign w:val="center"/>
          </w:tcPr>
          <w:p>
            <w:pPr>
              <w:snapToGrid w:val="0"/>
              <w:spacing w:line="300" w:lineRule="auto"/>
              <w:rPr>
                <w:rFonts w:eastAsia="仿宋_GB2312"/>
                <w:b/>
                <w:szCs w:val="21"/>
              </w:rPr>
            </w:pPr>
            <w:r>
              <w:rPr>
                <w:rFonts w:eastAsia="仿宋_GB2312"/>
                <w:b/>
                <w:szCs w:val="21"/>
              </w:rPr>
              <w:t>专利</w:t>
            </w:r>
          </w:p>
        </w:tc>
        <w:tc>
          <w:tcPr>
            <w:tcW w:w="304" w:type="pct"/>
            <w:vAlign w:val="center"/>
          </w:tcPr>
          <w:p>
            <w:pPr>
              <w:snapToGrid w:val="0"/>
              <w:spacing w:line="300" w:lineRule="auto"/>
              <w:jc w:val="center"/>
              <w:rPr>
                <w:rFonts w:eastAsia="仿宋_GB2312"/>
                <w:b/>
                <w:szCs w:val="21"/>
              </w:rPr>
            </w:pPr>
            <w:r>
              <w:rPr>
                <w:rFonts w:eastAsia="仿宋_GB2312"/>
                <w:b/>
                <w:szCs w:val="21"/>
              </w:rPr>
              <w:t>软</w:t>
            </w:r>
          </w:p>
          <w:p>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pPr>
              <w:snapToGrid w:val="0"/>
              <w:spacing w:line="300" w:lineRule="auto"/>
              <w:jc w:val="center"/>
              <w:rPr>
                <w:rFonts w:eastAsia="仿宋_GB2312"/>
                <w:b/>
                <w:szCs w:val="21"/>
              </w:rPr>
            </w:pPr>
            <w:r>
              <w:rPr>
                <w:rFonts w:eastAsia="仿宋_GB2312"/>
                <w:b/>
                <w:szCs w:val="21"/>
              </w:rPr>
              <w:t>工艺</w:t>
            </w:r>
          </w:p>
          <w:p>
            <w:pPr>
              <w:snapToGrid w:val="0"/>
              <w:spacing w:line="300" w:lineRule="auto"/>
              <w:jc w:val="center"/>
              <w:rPr>
                <w:rFonts w:eastAsia="仿宋_GB2312"/>
                <w:b/>
                <w:szCs w:val="21"/>
              </w:rPr>
            </w:pPr>
            <w:r>
              <w:rPr>
                <w:rFonts w:eastAsia="仿宋_GB2312"/>
                <w:b/>
                <w:szCs w:val="21"/>
              </w:rPr>
              <w:t>(规范)</w:t>
            </w:r>
          </w:p>
        </w:tc>
        <w:tc>
          <w:tcPr>
            <w:tcW w:w="250" w:type="pct"/>
            <w:gridSpan w:val="2"/>
            <w:vAlign w:val="center"/>
          </w:tcPr>
          <w:p>
            <w:pPr>
              <w:snapToGrid w:val="0"/>
              <w:spacing w:line="300" w:lineRule="auto"/>
              <w:jc w:val="center"/>
              <w:rPr>
                <w:rFonts w:eastAsia="仿宋_GB2312"/>
                <w:b/>
                <w:szCs w:val="21"/>
              </w:rPr>
            </w:pPr>
            <w:r>
              <w:rPr>
                <w:rFonts w:eastAsia="仿宋_GB2312"/>
                <w:b/>
                <w:szCs w:val="21"/>
              </w:rPr>
              <w:t>样机</w:t>
            </w:r>
          </w:p>
        </w:tc>
        <w:tc>
          <w:tcPr>
            <w:tcW w:w="250" w:type="pct"/>
            <w:vAlign w:val="center"/>
          </w:tcPr>
          <w:p>
            <w:pPr>
              <w:snapToGrid w:val="0"/>
              <w:spacing w:line="300" w:lineRule="auto"/>
              <w:jc w:val="center"/>
              <w:rPr>
                <w:rFonts w:eastAsia="仿宋_GB2312"/>
                <w:b/>
                <w:szCs w:val="21"/>
              </w:rPr>
            </w:pPr>
            <w:r>
              <w:rPr>
                <w:rFonts w:eastAsia="仿宋_GB2312"/>
                <w:b/>
                <w:szCs w:val="21"/>
              </w:rPr>
              <w:t>材料样品</w:t>
            </w:r>
          </w:p>
        </w:tc>
        <w:tc>
          <w:tcPr>
            <w:tcW w:w="580" w:type="pct"/>
            <w:vAlign w:val="center"/>
          </w:tcPr>
          <w:p>
            <w:pPr>
              <w:snapToGrid w:val="0"/>
              <w:spacing w:line="300" w:lineRule="auto"/>
              <w:jc w:val="center"/>
              <w:rPr>
                <w:rFonts w:eastAsia="仿宋_GB2312"/>
                <w:b/>
                <w:szCs w:val="21"/>
              </w:rPr>
            </w:pPr>
            <w:r>
              <w:rPr>
                <w:rFonts w:eastAsia="仿宋_GB2312"/>
                <w:b/>
                <w:szCs w:val="21"/>
              </w:rPr>
              <w:t>试验件</w:t>
            </w:r>
          </w:p>
          <w:p>
            <w:pPr>
              <w:snapToGrid w:val="0"/>
              <w:spacing w:line="300" w:lineRule="auto"/>
              <w:jc w:val="center"/>
              <w:rPr>
                <w:rFonts w:eastAsia="仿宋_GB2312"/>
                <w:b/>
                <w:szCs w:val="21"/>
              </w:rPr>
            </w:pPr>
            <w:r>
              <w:rPr>
                <w:rFonts w:eastAsia="仿宋_GB2312"/>
                <w:b/>
                <w:szCs w:val="21"/>
              </w:rPr>
              <w:t>(样/部件)</w:t>
            </w:r>
          </w:p>
        </w:tc>
        <w:tc>
          <w:tcPr>
            <w:tcW w:w="497" w:type="pct"/>
            <w:gridSpan w:val="2"/>
            <w:vAlign w:val="center"/>
          </w:tcPr>
          <w:p>
            <w:pPr>
              <w:snapToGrid w:val="0"/>
              <w:spacing w:line="300" w:lineRule="auto"/>
              <w:jc w:val="center"/>
              <w:rPr>
                <w:rFonts w:eastAsia="仿宋_GB2312"/>
                <w:b/>
                <w:szCs w:val="21"/>
              </w:rPr>
            </w:pPr>
            <w:r>
              <w:rPr>
                <w:rFonts w:eastAsia="仿宋_GB2312"/>
                <w:b/>
                <w:szCs w:val="21"/>
              </w:rPr>
              <w:t>装（设）置（备）</w:t>
            </w:r>
          </w:p>
        </w:tc>
        <w:tc>
          <w:tcPr>
            <w:tcW w:w="433" w:type="pct"/>
            <w:vAlign w:val="center"/>
          </w:tcPr>
          <w:p>
            <w:pPr>
              <w:snapToGrid w:val="0"/>
              <w:spacing w:line="300" w:lineRule="auto"/>
              <w:jc w:val="center"/>
              <w:rPr>
                <w:rFonts w:eastAsia="仿宋_GB2312"/>
                <w:szCs w:val="21"/>
              </w:rPr>
            </w:pPr>
            <w:r>
              <w:rPr>
                <w:rFonts w:eastAsia="仿宋_GB2312"/>
                <w:b/>
                <w:szCs w:val="21"/>
              </w:rPr>
              <w:t>集成验证或演示平台(系统)</w:t>
            </w:r>
          </w:p>
        </w:tc>
        <w:tc>
          <w:tcPr>
            <w:tcW w:w="284" w:type="pct"/>
            <w:vAlign w:val="center"/>
          </w:tcPr>
          <w:p>
            <w:pPr>
              <w:snapToGrid w:val="0"/>
              <w:spacing w:line="300" w:lineRule="auto"/>
              <w:jc w:val="center"/>
              <w:rPr>
                <w:rFonts w:eastAsia="仿宋_GB2312"/>
                <w:b/>
                <w:szCs w:val="21"/>
              </w:rPr>
            </w:pPr>
            <w:r>
              <w:rPr>
                <w:rFonts w:eastAsia="仿宋_GB2312"/>
                <w:b/>
                <w:szCs w:val="21"/>
              </w:rPr>
              <w:t>数据库</w:t>
            </w:r>
          </w:p>
        </w:tc>
        <w:tc>
          <w:tcPr>
            <w:tcW w:w="288" w:type="pct"/>
            <w:vAlign w:val="center"/>
          </w:tcPr>
          <w:p>
            <w:pPr>
              <w:snapToGrid w:val="0"/>
              <w:spacing w:line="300" w:lineRule="auto"/>
              <w:jc w:val="center"/>
              <w:rPr>
                <w:rFonts w:eastAsia="仿宋_GB2312"/>
                <w:szCs w:val="21"/>
              </w:rPr>
            </w:pPr>
            <w:r>
              <w:rPr>
                <w:rFonts w:eastAsia="仿宋_GB2312"/>
                <w:b/>
                <w:szCs w:val="21"/>
              </w:rPr>
              <w:t>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5" w:type="pct"/>
            <w:vAlign w:val="center"/>
          </w:tcPr>
          <w:p>
            <w:pPr>
              <w:snapToGrid w:val="0"/>
              <w:spacing w:line="300" w:lineRule="auto"/>
              <w:jc w:val="center"/>
              <w:rPr>
                <w:rFonts w:eastAsia="仿宋_GB2312"/>
                <w:b/>
                <w:szCs w:val="21"/>
              </w:rPr>
            </w:pPr>
            <w:r>
              <w:rPr>
                <w:rFonts w:eastAsia="仿宋_GB2312"/>
                <w:b/>
                <w:szCs w:val="21"/>
              </w:rPr>
              <w:t>数量</w:t>
            </w:r>
          </w:p>
        </w:tc>
        <w:tc>
          <w:tcPr>
            <w:tcW w:w="283" w:type="pct"/>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51" w:type="pct"/>
            <w:gridSpan w:val="2"/>
          </w:tcPr>
          <w:p>
            <w:pPr>
              <w:snapToGrid w:val="0"/>
              <w:spacing w:line="300" w:lineRule="auto"/>
              <w:rPr>
                <w:rFonts w:eastAsia="仿宋_GB2312"/>
                <w:szCs w:val="21"/>
              </w:rPr>
            </w:pPr>
          </w:p>
        </w:tc>
        <w:tc>
          <w:tcPr>
            <w:tcW w:w="304" w:type="pct"/>
          </w:tcPr>
          <w:p>
            <w:pPr>
              <w:snapToGrid w:val="0"/>
              <w:spacing w:line="300" w:lineRule="auto"/>
              <w:rPr>
                <w:rFonts w:eastAsia="仿宋_GB2312"/>
                <w:szCs w:val="21"/>
              </w:rPr>
            </w:pPr>
          </w:p>
        </w:tc>
        <w:tc>
          <w:tcPr>
            <w:tcW w:w="492" w:type="pct"/>
            <w:gridSpan w:val="2"/>
          </w:tcPr>
          <w:p>
            <w:pPr>
              <w:snapToGrid w:val="0"/>
              <w:spacing w:line="300" w:lineRule="auto"/>
              <w:rPr>
                <w:rFonts w:eastAsia="仿宋_GB2312"/>
                <w:szCs w:val="21"/>
              </w:rPr>
            </w:pPr>
          </w:p>
        </w:tc>
        <w:tc>
          <w:tcPr>
            <w:tcW w:w="250" w:type="pct"/>
            <w:gridSpan w:val="2"/>
          </w:tcPr>
          <w:p>
            <w:pPr>
              <w:snapToGrid w:val="0"/>
              <w:spacing w:line="300" w:lineRule="auto"/>
              <w:rPr>
                <w:rFonts w:eastAsia="仿宋_GB2312"/>
                <w:szCs w:val="21"/>
              </w:rPr>
            </w:pPr>
          </w:p>
        </w:tc>
        <w:tc>
          <w:tcPr>
            <w:tcW w:w="250" w:type="pct"/>
          </w:tcPr>
          <w:p>
            <w:pPr>
              <w:snapToGrid w:val="0"/>
              <w:spacing w:line="300" w:lineRule="auto"/>
              <w:rPr>
                <w:rFonts w:eastAsia="仿宋_GB2312"/>
                <w:szCs w:val="21"/>
              </w:rPr>
            </w:pPr>
          </w:p>
        </w:tc>
        <w:tc>
          <w:tcPr>
            <w:tcW w:w="580" w:type="pct"/>
          </w:tcPr>
          <w:p>
            <w:pPr>
              <w:snapToGrid w:val="0"/>
              <w:spacing w:line="300" w:lineRule="auto"/>
              <w:rPr>
                <w:rFonts w:eastAsia="仿宋_GB2312"/>
                <w:szCs w:val="21"/>
              </w:rPr>
            </w:pPr>
          </w:p>
        </w:tc>
        <w:tc>
          <w:tcPr>
            <w:tcW w:w="497" w:type="pct"/>
            <w:gridSpan w:val="2"/>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84" w:type="pct"/>
          </w:tcPr>
          <w:p>
            <w:pPr>
              <w:snapToGrid w:val="0"/>
              <w:spacing w:line="300" w:lineRule="auto"/>
              <w:rPr>
                <w:rFonts w:eastAsia="仿宋_GB2312"/>
                <w:szCs w:val="21"/>
              </w:rPr>
            </w:pPr>
          </w:p>
        </w:tc>
        <w:tc>
          <w:tcPr>
            <w:tcW w:w="288" w:type="pct"/>
          </w:tcPr>
          <w:p>
            <w:pPr>
              <w:snapToGrid w:val="0"/>
              <w:spacing w:line="300" w:lineRule="auto"/>
              <w:rPr>
                <w:rFonts w:eastAsia="仿宋_GB2312"/>
                <w:szCs w:val="21"/>
              </w:rPr>
            </w:pPr>
          </w:p>
        </w:tc>
      </w:tr>
    </w:tbl>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rPr>
          <w:rFonts w:ascii="Times New Roman" w:hAnsi="Times New Roman"/>
          <w:bCs w:val="0"/>
          <w:spacing w:val="10"/>
          <w:szCs w:val="28"/>
        </w:rPr>
      </w:pPr>
      <w:r>
        <w:rPr>
          <w:rFonts w:hint="eastAsia"/>
        </w:rPr>
        <w:t>附件4：</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364"/>
        <w:gridCol w:w="1177"/>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00" w:type="pct"/>
            <w:gridSpan w:val="4"/>
            <w:tcBorders>
              <w:top w:val="nil"/>
              <w:left w:val="nil"/>
              <w:bottom w:val="single" w:color="auto" w:sz="4" w:space="0"/>
              <w:right w:val="nil"/>
            </w:tcBorders>
            <w:shd w:val="clear" w:color="auto" w:fill="auto"/>
            <w:noWrap/>
            <w:vAlign w:val="center"/>
          </w:tcPr>
          <w:p>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u w:val="single"/>
              </w:rPr>
              <w:t xml:space="preserve">                           </w:t>
            </w:r>
            <w:r>
              <w:rPr>
                <w:rFonts w:asciiTheme="minorEastAsia" w:hAnsiTheme="minorEastAsia" w:eastAsiaTheme="minorEastAsia"/>
                <w:b/>
                <w:bCs/>
                <w:kern w:val="0"/>
                <w:szCs w:val="21"/>
              </w:rPr>
              <w:t>报价表</w:t>
            </w:r>
          </w:p>
          <w:p>
            <w:pPr>
              <w:widowControl/>
              <w:adjustRightInd w:val="0"/>
              <w:snapToGrid w:val="0"/>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依据《国防科技工业科研经费管理办法》（财防〔2019〕12号）中 </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技术类/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研究类/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研制类</w:t>
            </w:r>
            <w:r>
              <w:rPr>
                <w:rFonts w:hint="eastAsia" w:asciiTheme="minorEastAsia" w:hAnsiTheme="minorEastAsia" w:eastAsiaTheme="minorEastAsia"/>
                <w:b/>
                <w:bCs/>
                <w:kern w:val="0"/>
                <w:sz w:val="18"/>
                <w:szCs w:val="18"/>
              </w:rPr>
              <w:t xml:space="preserve"> </w:t>
            </w:r>
            <w:r>
              <w:rPr>
                <w:rFonts w:hint="eastAsia" w:asciiTheme="minorEastAsia" w:hAnsiTheme="minorEastAsia" w:eastAsiaTheme="minorEastAsia"/>
                <w:bCs/>
                <w:kern w:val="0"/>
                <w:sz w:val="18"/>
                <w:szCs w:val="18"/>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5"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351"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科目</w:t>
            </w:r>
          </w:p>
        </w:tc>
        <w:tc>
          <w:tcPr>
            <w:tcW w:w="697"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金额(万元)</w:t>
            </w:r>
          </w:p>
        </w:tc>
        <w:tc>
          <w:tcPr>
            <w:tcW w:w="2618"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含购买、运输、保险、装卸、筛选、整理、质保、废品损失包装等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外购原材料费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辅助材料费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成品(含嵌入式软件)费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半成品费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存储器、元器件、陪试品费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专用低值易耗品费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专用工具软件费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确需购买（含软件升级）或租用，作为工具使用的计算机程序、规程、规则，以及与之有关的文件所需的费用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技术引进费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专用工艺装备费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包括：工艺规程制定费、专用工艺研究费、工艺装备购置费。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专用测试仪器设备购置费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　随产品交付，含购置费、运输费、安装调试费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知识产权使用费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保险费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经国家和军队有关部门认可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3</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外协费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4</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燃料动力费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请在此处标明小时费率及时数，小时费率按水、电、油单价及用量分解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事务费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w:t>
            </w:r>
            <w:r>
              <w:rPr>
                <w:rFonts w:hint="eastAsia" w:asciiTheme="minorEastAsia" w:hAnsiTheme="minorEastAsia" w:eastAsiaTheme="minorEastAsia"/>
                <w:color w:val="A6A6A6" w:themeColor="background1" w:themeShade="A6"/>
                <w:kern w:val="0"/>
                <w:sz w:val="18"/>
                <w:szCs w:val="18"/>
              </w:rPr>
              <w:t>不超过18号文/12号文所列比例超额累退计算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会议费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组织开展学术研讨、咨询、评审以及项目协调等发生的会议场所租赁费、租车费、资料费、伙食费、住宿费、交通费等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差旅费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为开展科学实验（试验）、科学考察、业务调研、学术交流等发生的国内外差旅费，</w:t>
            </w:r>
            <w:r>
              <w:rPr>
                <w:rFonts w:hint="eastAsia" w:asciiTheme="minorEastAsia" w:hAnsiTheme="minorEastAsia" w:eastAsiaTheme="minorEastAsia"/>
                <w:color w:val="A6A6A6" w:themeColor="background1" w:themeShade="A6"/>
                <w:kern w:val="0"/>
                <w:sz w:val="18"/>
                <w:szCs w:val="18"/>
              </w:rPr>
              <w:t>含</w:t>
            </w:r>
            <w:r>
              <w:rPr>
                <w:rFonts w:asciiTheme="minorEastAsia" w:hAnsiTheme="minorEastAsia" w:eastAsiaTheme="minorEastAsia"/>
                <w:color w:val="A6A6A6" w:themeColor="background1" w:themeShade="A6"/>
                <w:kern w:val="0"/>
                <w:sz w:val="18"/>
                <w:szCs w:val="18"/>
              </w:rPr>
              <w:t>交通费、住宿费、伙食补贴费等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专家咨询费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一次性支付给外单位专家的评审咨询费用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6</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固定资产折旧费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请在此处标明资产原值及计算方法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7</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管理费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研制类/试制类不超过12%，技术类不超过15%，研究类不超过20%</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8</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工资及劳务费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请在此处标明近三年的薪酬总额、事业费拨款、营业总收入、平均在岗职工人数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9</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预计收益</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按不超过预计成本扣除材料费中的外购成品费、专用费及外协费后的5%计列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10</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税负</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税负</w:t>
            </w:r>
            <w:r>
              <w:rPr>
                <w:rFonts w:asciiTheme="minorEastAsia" w:hAnsiTheme="minorEastAsia" w:eastAsiaTheme="minorEastAsia"/>
                <w:b/>
                <w:color w:val="A6A6A6" w:themeColor="background1" w:themeShade="A6"/>
                <w:kern w:val="0"/>
                <w:sz w:val="18"/>
                <w:szCs w:val="18"/>
              </w:rPr>
              <w:t>=</w:t>
            </w:r>
            <w:r>
              <w:rPr>
                <w:rFonts w:hint="eastAsia" w:asciiTheme="minorEastAsia" w:hAnsiTheme="minorEastAsia" w:eastAsiaTheme="minorEastAsia"/>
                <w:b/>
                <w:color w:val="A6A6A6" w:themeColor="background1" w:themeShade="A6"/>
                <w:kern w:val="0"/>
                <w:sz w:val="18"/>
                <w:szCs w:val="18"/>
              </w:rPr>
              <w:t>（</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）×税负率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86" w:type="pct"/>
            <w:gridSpan w:val="2"/>
            <w:shd w:val="clear" w:color="auto" w:fill="auto"/>
            <w:noWrap/>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合计</w:t>
            </w:r>
          </w:p>
        </w:tc>
        <w:tc>
          <w:tcPr>
            <w:tcW w:w="697" w:type="pct"/>
            <w:shd w:val="clear" w:color="auto" w:fill="auto"/>
            <w:noWrap/>
            <w:vAlign w:val="center"/>
          </w:tcPr>
          <w:p>
            <w:pPr>
              <w:widowControl/>
              <w:jc w:val="center"/>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Cs/>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合计=</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+10</w:t>
            </w:r>
          </w:p>
        </w:tc>
      </w:tr>
    </w:tbl>
    <w:p>
      <w:pPr>
        <w:spacing w:line="400" w:lineRule="exact"/>
        <w:ind w:firstLine="360" w:firstLineChars="200"/>
        <w:jc w:val="left"/>
        <w:rPr>
          <w:rFonts w:asciiTheme="minorEastAsia" w:hAnsiTheme="minorEastAsia" w:eastAsiaTheme="minorEastAsia"/>
          <w:b/>
          <w:spacing w:val="10"/>
          <w:sz w:val="28"/>
          <w:szCs w:val="28"/>
        </w:rPr>
      </w:pPr>
      <w:r>
        <w:rPr>
          <w:rFonts w:asciiTheme="minorEastAsia" w:hAnsiTheme="minorEastAsia" w:eastAsiaTheme="minorEastAsia"/>
          <w:sz w:val="18"/>
          <w:szCs w:val="18"/>
        </w:rPr>
        <w:t>注：1.上述报价</w:t>
      </w:r>
      <w:r>
        <w:rPr>
          <w:rFonts w:asciiTheme="minorEastAsia" w:hAnsiTheme="minorEastAsia" w:eastAsiaTheme="minorEastAsia"/>
          <w:b/>
          <w:sz w:val="18"/>
          <w:szCs w:val="18"/>
        </w:rPr>
        <w:t>需另附</w:t>
      </w:r>
      <w:r>
        <w:rPr>
          <w:rFonts w:hint="eastAsia" w:asciiTheme="minorEastAsia" w:hAnsiTheme="minorEastAsia" w:eastAsiaTheme="minorEastAsia"/>
          <w:b/>
          <w:sz w:val="18"/>
          <w:szCs w:val="18"/>
        </w:rPr>
        <w:t>《中国航发航空科技股份有限公司项目报价说明书》</w:t>
      </w:r>
      <w:r>
        <w:rPr>
          <w:rFonts w:asciiTheme="minorEastAsia" w:hAnsiTheme="minorEastAsia" w:eastAsiaTheme="minorEastAsia"/>
          <w:sz w:val="18"/>
          <w:szCs w:val="18"/>
        </w:rPr>
        <w:t>；2.未按此模板格式和要求报价，视为报价无效；</w:t>
      </w:r>
      <w:r>
        <w:rPr>
          <w:rFonts w:hint="eastAsia" w:asciiTheme="minorEastAsia" w:hAnsiTheme="minorEastAsia" w:eastAsiaTheme="minorEastAsia"/>
          <w:sz w:val="18"/>
          <w:szCs w:val="18"/>
        </w:rPr>
        <w:t>3</w:t>
      </w:r>
      <w:r>
        <w:rPr>
          <w:rFonts w:asciiTheme="minorEastAsia" w:hAnsiTheme="minorEastAsia" w:eastAsiaTheme="minorEastAsia"/>
          <w:sz w:val="18"/>
          <w:szCs w:val="18"/>
        </w:rPr>
        <w:t>.上述条目可按实际情况填报，若不涉及，请不填或填“无”；</w:t>
      </w:r>
      <w:r>
        <w:rPr>
          <w:rFonts w:hint="eastAsia" w:asciiTheme="minorEastAsia" w:hAnsiTheme="minorEastAsia" w:eastAsiaTheme="minorEastAsia"/>
          <w:sz w:val="18"/>
          <w:szCs w:val="18"/>
        </w:rPr>
        <w:t>4</w:t>
      </w:r>
      <w:r>
        <w:rPr>
          <w:rFonts w:asciiTheme="minorEastAsia" w:hAnsiTheme="minorEastAsia" w:eastAsiaTheme="minorEastAsia"/>
          <w:kern w:val="0"/>
          <w:sz w:val="18"/>
          <w:szCs w:val="18"/>
        </w:rPr>
        <w:t>.上述报价</w:t>
      </w:r>
      <w:r>
        <w:rPr>
          <w:rFonts w:hint="eastAsia" w:asciiTheme="minorEastAsia" w:hAnsiTheme="minorEastAsia" w:eastAsiaTheme="minorEastAsia"/>
          <w:kern w:val="0"/>
          <w:sz w:val="18"/>
          <w:szCs w:val="18"/>
        </w:rPr>
        <w:t>各成本项</w:t>
      </w:r>
      <w:r>
        <w:rPr>
          <w:rFonts w:asciiTheme="minorEastAsia" w:hAnsiTheme="minorEastAsia" w:eastAsiaTheme="minorEastAsia"/>
          <w:kern w:val="0"/>
          <w:sz w:val="18"/>
          <w:szCs w:val="18"/>
        </w:rPr>
        <w:t>均</w:t>
      </w:r>
      <w:r>
        <w:rPr>
          <w:rFonts w:hint="eastAsia" w:asciiTheme="minorEastAsia" w:hAnsiTheme="minorEastAsia" w:eastAsiaTheme="minorEastAsia"/>
          <w:kern w:val="0"/>
          <w:sz w:val="18"/>
          <w:szCs w:val="18"/>
        </w:rPr>
        <w:t>为</w:t>
      </w:r>
      <w:r>
        <w:rPr>
          <w:rFonts w:asciiTheme="minorEastAsia" w:hAnsiTheme="minorEastAsia" w:eastAsiaTheme="minorEastAsia"/>
          <w:kern w:val="0"/>
          <w:sz w:val="18"/>
          <w:szCs w:val="18"/>
        </w:rPr>
        <w:t>含税</w:t>
      </w:r>
      <w:r>
        <w:rPr>
          <w:rFonts w:hint="eastAsia" w:asciiTheme="minorEastAsia" w:hAnsiTheme="minorEastAsia" w:eastAsiaTheme="minorEastAsia"/>
          <w:kern w:val="0"/>
          <w:sz w:val="18"/>
          <w:szCs w:val="18"/>
        </w:rPr>
        <w:t>采购价，</w:t>
      </w:r>
      <w:r>
        <w:rPr>
          <w:rFonts w:hint="eastAsia" w:asciiTheme="minorEastAsia" w:hAnsiTheme="minorEastAsia" w:eastAsiaTheme="minorEastAsia"/>
          <w:bCs/>
          <w:kern w:val="0"/>
          <w:sz w:val="18"/>
          <w:szCs w:val="18"/>
        </w:rPr>
        <w:t>报价中的税负率根据不同行业有所不同，一般在3%至6%之间波动。</w:t>
      </w:r>
    </w:p>
    <w:p>
      <w:pPr>
        <w:spacing w:line="480" w:lineRule="exact"/>
        <w:rPr>
          <w:rFonts w:ascii="宋体" w:hAnsi="宋体"/>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pPr>
      <w:r>
        <w:rPr>
          <w:rFonts w:hint="eastAsia"/>
        </w:rPr>
        <w:t>附件5：</w:t>
      </w:r>
    </w:p>
    <w:p>
      <w:pPr>
        <w:spacing w:line="560" w:lineRule="exact"/>
        <w:rPr>
          <w:rFonts w:ascii="黑体" w:hAnsi="黑体" w:eastAsia="黑体"/>
          <w:sz w:val="32"/>
          <w:szCs w:val="32"/>
        </w:rPr>
      </w:pPr>
      <w:r>
        <w:rPr>
          <w:rFonts w:hint="eastAsia" w:ascii="黑体" w:hAnsi="黑体" w:eastAsia="黑体"/>
          <w:sz w:val="32"/>
          <w:szCs w:val="32"/>
        </w:rPr>
        <w:t>密级：公开</w:t>
      </w:r>
    </w:p>
    <w:p>
      <w:pPr>
        <w:spacing w:before="1560" w:beforeLines="500" w:line="360" w:lineRule="auto"/>
        <w:ind w:left="420" w:leftChars="200"/>
        <w:jc w:val="center"/>
        <w:rPr>
          <w:rFonts w:ascii="宋体" w:hAnsi="宋体"/>
          <w:b/>
          <w:sz w:val="52"/>
          <w:szCs w:val="52"/>
        </w:rPr>
      </w:pPr>
      <w:r>
        <w:rPr>
          <w:rFonts w:hint="eastAsia" w:ascii="宋体" w:hAnsi="宋体"/>
          <w:b/>
          <w:sz w:val="52"/>
          <w:szCs w:val="52"/>
        </w:rPr>
        <w:t>中国航发航空科技股份有限公司项目报价说明书</w:t>
      </w:r>
    </w:p>
    <w:p>
      <w:pPr>
        <w:spacing w:before="4680" w:beforeLines="1500" w:line="360" w:lineRule="auto"/>
        <w:ind w:left="1050" w:leftChars="500"/>
        <w:rPr>
          <w:rFonts w:ascii="仿宋" w:hAnsi="仿宋" w:eastAsia="仿宋"/>
          <w:b/>
          <w:sz w:val="32"/>
          <w:szCs w:val="32"/>
        </w:rPr>
      </w:pPr>
      <w:r>
        <w:rPr>
          <w:rFonts w:ascii="仿宋" w:hAnsi="仿宋" w:eastAsia="仿宋"/>
          <w:b/>
          <w:sz w:val="32"/>
          <w:szCs w:val="32"/>
        </w:rPr>
        <w:t>项目名称：</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ascii="仿宋" w:hAnsi="仿宋" w:eastAsia="仿宋"/>
          <w:b/>
          <w:sz w:val="32"/>
          <w:szCs w:val="32"/>
        </w:rPr>
        <w:t>申报单位：</w:t>
      </w:r>
      <w:r>
        <w:rPr>
          <w:rFonts w:hint="eastAsia" w:ascii="仿宋" w:hAnsi="仿宋" w:eastAsia="仿宋"/>
          <w:b/>
          <w:sz w:val="32"/>
          <w:szCs w:val="32"/>
          <w:u w:val="single"/>
        </w:rPr>
        <w:t xml:space="preserve">    （需加盖单位公章）      </w:t>
      </w:r>
    </w:p>
    <w:p>
      <w:pPr>
        <w:ind w:left="1050" w:leftChars="500"/>
        <w:rPr>
          <w:rFonts w:ascii="仿宋" w:hAnsi="仿宋" w:eastAsia="仿宋"/>
          <w:b/>
          <w:sz w:val="32"/>
          <w:szCs w:val="32"/>
        </w:rPr>
      </w:pPr>
      <w:r>
        <w:rPr>
          <w:rFonts w:hint="eastAsia" w:ascii="仿宋" w:hAnsi="仿宋" w:eastAsia="仿宋"/>
          <w:b/>
          <w:sz w:val="32"/>
          <w:szCs w:val="32"/>
        </w:rPr>
        <w:t xml:space="preserve">联 系 </w:t>
      </w:r>
      <w:r>
        <w:rPr>
          <w:rFonts w:ascii="仿宋" w:hAnsi="仿宋" w:eastAsia="仿宋"/>
          <w:b/>
          <w:sz w:val="32"/>
          <w:szCs w:val="32"/>
        </w:rPr>
        <w:t>人：</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联系方式</w:t>
      </w:r>
      <w:r>
        <w:rPr>
          <w:rFonts w:ascii="仿宋" w:hAnsi="仿宋" w:eastAsia="仿宋"/>
          <w:b/>
          <w:sz w:val="32"/>
          <w:szCs w:val="32"/>
        </w:rPr>
        <w:t>：</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有 效 期：</w:t>
      </w:r>
      <w:r>
        <w:rPr>
          <w:rFonts w:hint="eastAsia" w:ascii="仿宋" w:hAnsi="仿宋" w:eastAsia="仿宋"/>
          <w:b/>
          <w:sz w:val="32"/>
          <w:szCs w:val="32"/>
          <w:u w:val="single"/>
        </w:rPr>
        <w:t xml:space="preserve">                            </w:t>
      </w:r>
    </w:p>
    <w:p>
      <w:pPr>
        <w:spacing w:line="500" w:lineRule="exact"/>
        <w:jc w:val="center"/>
        <w:rPr>
          <w:rFonts w:ascii="仿宋" w:hAnsi="仿宋" w:eastAsia="仿宋"/>
          <w:b/>
          <w:sz w:val="32"/>
          <w:szCs w:val="32"/>
        </w:rPr>
        <w:sectPr>
          <w:pgSz w:w="11906" w:h="16838"/>
          <w:pgMar w:top="1440" w:right="1797" w:bottom="1440" w:left="1797" w:header="851" w:footer="992" w:gutter="0"/>
          <w:cols w:space="425" w:num="1"/>
          <w:titlePg/>
          <w:docGrid w:type="lines" w:linePitch="312" w:charSpace="0"/>
        </w:sectPr>
      </w:pPr>
    </w:p>
    <w:p>
      <w:pPr>
        <w:pStyle w:val="2"/>
        <w:spacing w:before="156" w:beforeLines="50" w:after="156" w:afterLines="50" w:line="600" w:lineRule="exact"/>
        <w:rPr>
          <w:rFonts w:ascii="仿宋" w:hAnsi="仿宋" w:eastAsia="仿宋"/>
          <w:bCs/>
          <w:sz w:val="24"/>
          <w:szCs w:val="24"/>
        </w:rPr>
      </w:pPr>
      <w:bookmarkStart w:id="4" w:name="_Toc256515911"/>
      <w:bookmarkStart w:id="5" w:name="_Toc272369562"/>
      <w:bookmarkStart w:id="6" w:name="_Toc288827256"/>
      <w:bookmarkStart w:id="7" w:name="_Toc395538883"/>
      <w:bookmarkStart w:id="8" w:name="_Toc425432702"/>
      <w:bookmarkStart w:id="9" w:name="_Toc395538888"/>
      <w:r>
        <w:rPr>
          <w:rFonts w:hint="eastAsia" w:ascii="仿宋" w:hAnsi="仿宋" w:eastAsia="仿宋"/>
          <w:sz w:val="24"/>
          <w:szCs w:val="24"/>
        </w:rPr>
        <w:t>1.报价</w:t>
      </w:r>
      <w:bookmarkEnd w:id="4"/>
      <w:bookmarkEnd w:id="5"/>
      <w:bookmarkEnd w:id="6"/>
      <w:bookmarkEnd w:id="7"/>
      <w:bookmarkEnd w:id="8"/>
      <w:r>
        <w:rPr>
          <w:rFonts w:hint="eastAsia" w:ascii="仿宋" w:hAnsi="仿宋" w:eastAsia="仿宋"/>
          <w:bCs/>
          <w:sz w:val="24"/>
          <w:szCs w:val="24"/>
        </w:rPr>
        <w:t>依据</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本项目依据《国防科技工业科研经费管理办法》（财防〔2019〕12号）中</w:t>
      </w:r>
      <w:r>
        <w:rPr>
          <w:rFonts w:hint="eastAsia" w:ascii="仿宋" w:hAnsi="仿宋" w:eastAsia="仿宋" w:cs="Arial"/>
          <w:sz w:val="24"/>
        </w:rPr>
        <w:sym w:font="Wingdings" w:char="F0A8"/>
      </w:r>
      <w:r>
        <w:rPr>
          <w:rFonts w:hint="eastAsia" w:ascii="仿宋" w:hAnsi="仿宋" w:eastAsia="仿宋" w:cs="Arial"/>
          <w:sz w:val="24"/>
        </w:rPr>
        <w:t>技术类/</w:t>
      </w:r>
      <w:r>
        <w:rPr>
          <w:rFonts w:hint="eastAsia" w:ascii="仿宋" w:hAnsi="仿宋" w:eastAsia="仿宋" w:cs="Arial"/>
          <w:sz w:val="24"/>
        </w:rPr>
        <w:sym w:font="Wingdings" w:char="F0A8"/>
      </w:r>
      <w:r>
        <w:rPr>
          <w:rFonts w:hint="eastAsia" w:ascii="仿宋" w:hAnsi="仿宋" w:eastAsia="仿宋" w:cs="Arial"/>
          <w:sz w:val="24"/>
        </w:rPr>
        <w:t>研究类/</w:t>
      </w:r>
      <w:r>
        <w:rPr>
          <w:rFonts w:hint="eastAsia" w:ascii="仿宋" w:hAnsi="仿宋" w:eastAsia="仿宋" w:cs="Arial"/>
          <w:sz w:val="24"/>
        </w:rPr>
        <w:sym w:font="Wingdings" w:char="F0A8"/>
      </w:r>
      <w:r>
        <w:rPr>
          <w:rFonts w:hint="eastAsia" w:ascii="仿宋" w:hAnsi="仿宋" w:eastAsia="仿宋" w:cs="Arial"/>
          <w:sz w:val="24"/>
        </w:rPr>
        <w:t>研制类项目进行经费测算。</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2.报价总表</w:t>
      </w:r>
    </w:p>
    <w:p>
      <w:pPr>
        <w:spacing w:line="300" w:lineRule="auto"/>
        <w:ind w:firstLine="480" w:firstLineChars="200"/>
        <w:rPr>
          <w:rFonts w:ascii="仿宋" w:hAnsi="仿宋" w:eastAsia="仿宋" w:cs="Arial"/>
          <w:sz w:val="24"/>
        </w:rPr>
      </w:pPr>
      <w:bookmarkStart w:id="10" w:name="_Toc395538887"/>
      <w:bookmarkStart w:id="11" w:name="_Toc425432706"/>
      <w:bookmarkStart w:id="12" w:name="_Toc288827260"/>
      <w:bookmarkStart w:id="13" w:name="_Toc272369566"/>
      <w:bookmarkStart w:id="14" w:name="_Toc256515914"/>
      <w:r>
        <w:rPr>
          <w:rFonts w:hint="eastAsia" w:ascii="仿宋" w:hAnsi="仿宋" w:eastAsia="仿宋" w:cs="Arial"/>
          <w:sz w:val="24"/>
        </w:rPr>
        <w:t>本项目共需经费</w:t>
      </w:r>
      <w:r>
        <w:rPr>
          <w:rFonts w:hint="eastAsia" w:ascii="仿宋" w:hAnsi="仿宋" w:eastAsia="仿宋" w:cs="Arial"/>
          <w:sz w:val="24"/>
          <w:u w:val="single"/>
        </w:rPr>
        <w:t>XX万元</w:t>
      </w:r>
      <w:r>
        <w:rPr>
          <w:rFonts w:hint="eastAsia" w:ascii="仿宋" w:hAnsi="仿宋" w:eastAsia="仿宋" w:cs="Arial"/>
          <w:sz w:val="24"/>
        </w:rPr>
        <w:t>，具体各项目费用组成明细详见附件4。</w:t>
      </w:r>
    </w:p>
    <w:bookmarkEnd w:id="9"/>
    <w:bookmarkEnd w:id="10"/>
    <w:bookmarkEnd w:id="11"/>
    <w:bookmarkEnd w:id="12"/>
    <w:bookmarkEnd w:id="13"/>
    <w:bookmarkEnd w:id="14"/>
    <w:p>
      <w:pPr>
        <w:pStyle w:val="2"/>
        <w:spacing w:before="156" w:beforeLines="50" w:after="156" w:afterLines="50" w:line="600" w:lineRule="exact"/>
        <w:rPr>
          <w:rFonts w:ascii="仿宋" w:hAnsi="仿宋" w:eastAsia="仿宋"/>
          <w:sz w:val="24"/>
          <w:szCs w:val="24"/>
        </w:rPr>
      </w:pPr>
      <w:bookmarkStart w:id="15" w:name="_Toc395538889"/>
      <w:bookmarkStart w:id="16" w:name="_Toc425432708"/>
      <w:r>
        <w:rPr>
          <w:rFonts w:hint="eastAsia" w:ascii="仿宋" w:hAnsi="仿宋" w:eastAsia="仿宋"/>
          <w:sz w:val="24"/>
          <w:szCs w:val="24"/>
        </w:rPr>
        <w:t>3.1 材料费</w:t>
      </w:r>
    </w:p>
    <w:p>
      <w:pPr>
        <w:spacing w:line="300" w:lineRule="auto"/>
        <w:ind w:firstLine="480" w:firstLineChars="200"/>
        <w:rPr>
          <w:rFonts w:ascii="仿宋" w:hAnsi="仿宋" w:eastAsia="仿宋" w:cs="Arial"/>
          <w:sz w:val="24"/>
        </w:rPr>
      </w:pPr>
      <w:r>
        <w:rPr>
          <w:rFonts w:hint="eastAsia" w:ascii="仿宋" w:hAnsi="仿宋" w:eastAsia="仿宋" w:cs="Arial"/>
          <w:sz w:val="24"/>
        </w:rPr>
        <w:t>材料费是指在项目研究、试制过程中，必须使用的各种外购原材料、辅助材料、成品（含嵌入式软件）、半成品、存储器、元器件、陪试品和专用低值易耗品等所需费用，包括购买价款及运输、保险、装卸、筛选、整理、质保、废品损失等费用，以及相关税费。本项目材料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表2材料费报价明细表</w:t>
      </w:r>
    </w:p>
    <w:tbl>
      <w:tblPr>
        <w:tblStyle w:val="28"/>
        <w:tblW w:w="5000" w:type="pct"/>
        <w:tblInd w:w="0" w:type="dxa"/>
        <w:tblLayout w:type="fixed"/>
        <w:tblCellMar>
          <w:top w:w="0" w:type="dxa"/>
          <w:left w:w="108" w:type="dxa"/>
          <w:bottom w:w="0" w:type="dxa"/>
          <w:right w:w="108" w:type="dxa"/>
        </w:tblCellMar>
      </w:tblPr>
      <w:tblGrid>
        <w:gridCol w:w="535"/>
        <w:gridCol w:w="707"/>
        <w:gridCol w:w="709"/>
        <w:gridCol w:w="710"/>
        <w:gridCol w:w="708"/>
        <w:gridCol w:w="706"/>
        <w:gridCol w:w="708"/>
        <w:gridCol w:w="710"/>
        <w:gridCol w:w="710"/>
        <w:gridCol w:w="2325"/>
      </w:tblGrid>
      <w:tr>
        <w:tblPrEx>
          <w:tblCellMar>
            <w:top w:w="0" w:type="dxa"/>
            <w:left w:w="108" w:type="dxa"/>
            <w:bottom w:w="0" w:type="dxa"/>
            <w:right w:w="108" w:type="dxa"/>
          </w:tblCellMar>
        </w:tblPrEx>
        <w:trPr>
          <w:trHeight w:val="270" w:hRule="atLeast"/>
          <w:tblHeader/>
        </w:trPr>
        <w:tc>
          <w:tcPr>
            <w:tcW w:w="314"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序号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材料名称</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材料类型</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w:t>
            </w:r>
            <w:r>
              <w:rPr>
                <w:rFonts w:hint="eastAsia" w:ascii="仿宋" w:hAnsi="仿宋" w:eastAsia="仿宋"/>
                <w:b/>
                <w:bCs/>
                <w:color w:val="000000"/>
                <w:kern w:val="0"/>
                <w:sz w:val="18"/>
                <w:szCs w:val="18"/>
              </w:rPr>
              <w:t>牌号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材料标准</w:t>
            </w:r>
          </w:p>
        </w:tc>
        <w:tc>
          <w:tcPr>
            <w:tcW w:w="414"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计量单位</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重量/数量</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单价(元)</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w:t>
            </w:r>
            <w:r>
              <w:rPr>
                <w:rFonts w:ascii="仿宋" w:hAnsi="仿宋" w:eastAsia="仿宋"/>
                <w:b/>
                <w:bCs/>
                <w:color w:val="000000"/>
                <w:kern w:val="0"/>
                <w:sz w:val="18"/>
                <w:szCs w:val="18"/>
              </w:rPr>
              <w:t>价(元)</w:t>
            </w:r>
          </w:p>
        </w:tc>
        <w:tc>
          <w:tcPr>
            <w:tcW w:w="13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用途</w:t>
            </w: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bl>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3.2 专用费</w:t>
      </w:r>
    </w:p>
    <w:p>
      <w:pPr>
        <w:spacing w:line="300" w:lineRule="auto"/>
        <w:ind w:firstLine="480" w:firstLineChars="200"/>
        <w:rPr>
          <w:rFonts w:ascii="仿宋" w:hAnsi="仿宋" w:eastAsia="仿宋" w:cs="Arial"/>
          <w:sz w:val="24"/>
        </w:rPr>
      </w:pPr>
      <w:r>
        <w:rPr>
          <w:rFonts w:hint="eastAsia" w:ascii="仿宋" w:hAnsi="仿宋" w:eastAsia="仿宋" w:cs="Arial"/>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表3 专用费需求明细表</w:t>
      </w:r>
    </w:p>
    <w:tbl>
      <w:tblPr>
        <w:tblStyle w:val="28"/>
        <w:tblW w:w="5000" w:type="pct"/>
        <w:tblInd w:w="0" w:type="dxa"/>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专用费－专用工具软件费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专用费－技术引进费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专用费－专用工具装备费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专用费－随产品交付的专用测试仪器</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专用费－知识产权使用费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专用费合计</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bl>
    <w:p>
      <w:pPr>
        <w:pStyle w:val="2"/>
        <w:spacing w:before="156" w:beforeLines="50" w:after="156" w:afterLines="50" w:line="600" w:lineRule="exact"/>
        <w:rPr>
          <w:rFonts w:ascii="仿宋" w:hAnsi="仿宋" w:eastAsia="仿宋"/>
          <w:sz w:val="24"/>
          <w:szCs w:val="24"/>
        </w:rPr>
      </w:pPr>
      <w:bookmarkStart w:id="17" w:name="_Toc17971460"/>
      <w:r>
        <w:rPr>
          <w:rFonts w:hint="eastAsia" w:ascii="仿宋" w:hAnsi="仿宋" w:eastAsia="仿宋"/>
          <w:sz w:val="24"/>
          <w:szCs w:val="24"/>
        </w:rPr>
        <w:t>3.3.外协费</w:t>
      </w:r>
      <w:bookmarkEnd w:id="17"/>
    </w:p>
    <w:p>
      <w:pPr>
        <w:spacing w:line="300" w:lineRule="auto"/>
        <w:ind w:firstLine="480" w:firstLineChars="200"/>
        <w:rPr>
          <w:rFonts w:ascii="仿宋" w:hAnsi="仿宋" w:eastAsia="仿宋" w:cs="Arial"/>
          <w:sz w:val="24"/>
        </w:rPr>
      </w:pPr>
      <w:r>
        <w:rPr>
          <w:rFonts w:hint="eastAsia" w:ascii="仿宋" w:hAnsi="仿宋" w:eastAsia="仿宋" w:cs="Arial"/>
          <w:sz w:val="24"/>
        </w:rPr>
        <w:t>外协费是指在项目研究、试制过程中，项目承担单位由于自身的技术、工艺和设备等条件限制，必须由外单位进行研制、研究、设计、加工、检测、软件评测、试验等所需的费用。本项目外协费为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表4 外协费明细表</w:t>
      </w:r>
    </w:p>
    <w:tbl>
      <w:tblPr>
        <w:tblStyle w:val="28"/>
        <w:tblW w:w="5000" w:type="pct"/>
        <w:tblInd w:w="0" w:type="dxa"/>
        <w:tblLayout w:type="autofit"/>
        <w:tblCellMar>
          <w:top w:w="0" w:type="dxa"/>
          <w:left w:w="108" w:type="dxa"/>
          <w:bottom w:w="0" w:type="dxa"/>
          <w:right w:w="108" w:type="dxa"/>
        </w:tblCellMar>
      </w:tblPr>
      <w:tblGrid>
        <w:gridCol w:w="723"/>
        <w:gridCol w:w="1301"/>
        <w:gridCol w:w="1301"/>
        <w:gridCol w:w="1301"/>
        <w:gridCol w:w="1301"/>
        <w:gridCol w:w="1302"/>
        <w:gridCol w:w="1299"/>
      </w:tblGrid>
      <w:tr>
        <w:tblPrEx>
          <w:tblCellMar>
            <w:top w:w="0" w:type="dxa"/>
            <w:left w:w="108" w:type="dxa"/>
            <w:bottom w:w="0" w:type="dxa"/>
            <w:right w:w="108" w:type="dxa"/>
          </w:tblCellMar>
        </w:tblPrEx>
        <w:trPr>
          <w:trHeight w:val="270" w:hRule="atLeast"/>
          <w:tblHeader/>
        </w:trPr>
        <w:tc>
          <w:tcPr>
            <w:tcW w:w="42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外协名称</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外协内容</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外协必要性</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拟外协单位</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外协价格（元）</w:t>
            </w:r>
          </w:p>
        </w:tc>
        <w:tc>
          <w:tcPr>
            <w:tcW w:w="761"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3476" w:type="pct"/>
            <w:gridSpan w:val="5"/>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763"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761"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3.4.燃料动力费</w:t>
      </w:r>
    </w:p>
    <w:p>
      <w:pPr>
        <w:spacing w:line="300" w:lineRule="auto"/>
        <w:ind w:firstLine="480" w:firstLineChars="200"/>
        <w:rPr>
          <w:rFonts w:ascii="仿宋" w:hAnsi="仿宋" w:eastAsia="仿宋" w:cs="Arial"/>
          <w:sz w:val="24"/>
        </w:rPr>
      </w:pPr>
      <w:r>
        <w:rPr>
          <w:rFonts w:hint="eastAsia" w:ascii="仿宋" w:hAnsi="仿宋" w:eastAsia="仿宋" w:cs="Arial"/>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表5 燃料动力费明细表</w:t>
      </w:r>
    </w:p>
    <w:tbl>
      <w:tblPr>
        <w:tblStyle w:val="28"/>
        <w:tblW w:w="5000" w:type="pct"/>
        <w:tblInd w:w="0" w:type="dxa"/>
        <w:tblLayout w:type="autofit"/>
        <w:tblCellMar>
          <w:top w:w="0" w:type="dxa"/>
          <w:left w:w="108" w:type="dxa"/>
          <w:bottom w:w="0" w:type="dxa"/>
          <w:right w:w="108" w:type="dxa"/>
        </w:tblCellMar>
      </w:tblPr>
      <w:tblGrid>
        <w:gridCol w:w="603"/>
        <w:gridCol w:w="1092"/>
        <w:gridCol w:w="1092"/>
        <w:gridCol w:w="1433"/>
        <w:gridCol w:w="1559"/>
        <w:gridCol w:w="2749"/>
      </w:tblGrid>
      <w:tr>
        <w:tblPrEx>
          <w:tblCellMar>
            <w:top w:w="0" w:type="dxa"/>
            <w:left w:w="108" w:type="dxa"/>
            <w:bottom w:w="0" w:type="dxa"/>
            <w:right w:w="108" w:type="dxa"/>
          </w:tblCellMar>
        </w:tblPrEx>
        <w:trPr>
          <w:trHeight w:val="450" w:hRule="atLeast"/>
        </w:trPr>
        <w:tc>
          <w:tcPr>
            <w:tcW w:w="35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试验名称</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时数</w:t>
            </w:r>
          </w:p>
        </w:tc>
        <w:tc>
          <w:tcPr>
            <w:tcW w:w="8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燃料动力费率（元/时）</w:t>
            </w:r>
          </w:p>
        </w:tc>
        <w:tc>
          <w:tcPr>
            <w:tcW w:w="914"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燃料动力费用（元）</w:t>
            </w:r>
          </w:p>
        </w:tc>
        <w:tc>
          <w:tcPr>
            <w:tcW w:w="1612"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45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1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1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70" w:hRule="atLeast"/>
        </w:trPr>
        <w:tc>
          <w:tcPr>
            <w:tcW w:w="2474" w:type="pct"/>
            <w:gridSpan w:val="4"/>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914"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12"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3.5 事务费</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事务费是指在项目研究、试制过程中必须发生的会议费、差旅费和专家咨询费。本项目事务费为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（1）会议费是指在项目研究、试制过程中组织开展学术研讨、咨询、评审以及项目协调等活动发生的会议场所租赁费、租车费、资料费、伙食费、住宿费、交通费等。本项目期间因</w:t>
      </w:r>
      <w:r>
        <w:rPr>
          <w:rFonts w:hint="eastAsia" w:ascii="仿宋" w:hAnsi="仿宋" w:eastAsia="仿宋" w:cs="Arial"/>
          <w:sz w:val="24"/>
          <w:u w:val="single"/>
        </w:rPr>
        <w:t>XX</w:t>
      </w:r>
      <w:r>
        <w:rPr>
          <w:rFonts w:hint="eastAsia" w:ascii="仿宋" w:hAnsi="仿宋" w:eastAsia="仿宋" w:cs="Arial"/>
          <w:sz w:val="24"/>
        </w:rPr>
        <w:t>任务预计发生会议次数为</w:t>
      </w:r>
      <w:r>
        <w:rPr>
          <w:rFonts w:hint="eastAsia" w:ascii="仿宋" w:hAnsi="仿宋" w:eastAsia="仿宋" w:cs="Arial"/>
          <w:sz w:val="24"/>
          <w:u w:val="single"/>
        </w:rPr>
        <w:t>XX</w:t>
      </w:r>
      <w:r>
        <w:rPr>
          <w:rFonts w:hint="eastAsia" w:ascii="仿宋" w:hAnsi="仿宋" w:eastAsia="仿宋" w:cs="Arial"/>
          <w:sz w:val="24"/>
        </w:rPr>
        <w:t>，预计平均会议费标准为</w:t>
      </w:r>
      <w:r>
        <w:rPr>
          <w:rFonts w:hint="eastAsia" w:ascii="仿宋" w:hAnsi="仿宋" w:eastAsia="仿宋" w:cs="Arial"/>
          <w:sz w:val="24"/>
          <w:u w:val="single"/>
        </w:rPr>
        <w:t>XX万元/次</w:t>
      </w:r>
      <w:r>
        <w:rPr>
          <w:rFonts w:hint="eastAsia" w:ascii="仿宋" w:hAnsi="仿宋" w:eastAsia="仿宋" w:cs="Arial"/>
          <w:sz w:val="24"/>
        </w:rPr>
        <w:t>，因此，本项目会议费为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（2）差旅费是指在项目研究、试制过程中为开展科学实验(试验)、科学考察、业务调研、学术交流等发生的国内外差旅费，包括交通费、住宿费、伙食补贴费等。本项目周期自</w:t>
      </w:r>
      <w:r>
        <w:rPr>
          <w:rFonts w:hint="eastAsia" w:ascii="仿宋" w:hAnsi="仿宋" w:eastAsia="仿宋" w:cs="Arial"/>
          <w:sz w:val="24"/>
          <w:u w:val="single"/>
        </w:rPr>
        <w:t>X年X月X日</w:t>
      </w:r>
      <w:r>
        <w:rPr>
          <w:rFonts w:hint="eastAsia" w:ascii="仿宋" w:hAnsi="仿宋" w:eastAsia="仿宋" w:cs="Arial"/>
          <w:sz w:val="24"/>
        </w:rPr>
        <w:t>至</w:t>
      </w:r>
      <w:r>
        <w:rPr>
          <w:rFonts w:hint="eastAsia" w:ascii="仿宋" w:hAnsi="仿宋" w:eastAsia="仿宋" w:cs="Arial"/>
          <w:sz w:val="24"/>
          <w:u w:val="single"/>
        </w:rPr>
        <w:t>X年X月X日</w:t>
      </w:r>
      <w:r>
        <w:rPr>
          <w:rFonts w:hint="eastAsia" w:ascii="仿宋" w:hAnsi="仿宋" w:eastAsia="仿宋" w:cs="Arial"/>
          <w:sz w:val="24"/>
        </w:rPr>
        <w:t>，期间因</w:t>
      </w:r>
      <w:r>
        <w:rPr>
          <w:rFonts w:hint="eastAsia" w:ascii="仿宋" w:hAnsi="仿宋" w:eastAsia="仿宋" w:cs="Arial"/>
          <w:sz w:val="24"/>
          <w:u w:val="single"/>
        </w:rPr>
        <w:t>XX任务</w:t>
      </w:r>
      <w:r>
        <w:rPr>
          <w:rFonts w:hint="eastAsia" w:ascii="仿宋" w:hAnsi="仿宋" w:eastAsia="仿宋" w:cs="Arial"/>
          <w:sz w:val="24"/>
        </w:rPr>
        <w:t>预计发生差旅次数为</w:t>
      </w:r>
      <w:r>
        <w:rPr>
          <w:rFonts w:hint="eastAsia" w:ascii="仿宋" w:hAnsi="仿宋" w:eastAsia="仿宋" w:cs="Arial"/>
          <w:sz w:val="24"/>
          <w:u w:val="single"/>
        </w:rPr>
        <w:t>XX</w:t>
      </w:r>
      <w:r>
        <w:rPr>
          <w:rFonts w:hint="eastAsia" w:ascii="仿宋" w:hAnsi="仿宋" w:eastAsia="仿宋" w:cs="Arial"/>
          <w:sz w:val="24"/>
        </w:rPr>
        <w:t>，预计平均差旅费标准为</w:t>
      </w:r>
      <w:r>
        <w:rPr>
          <w:rFonts w:hint="eastAsia" w:ascii="仿宋" w:hAnsi="仿宋" w:eastAsia="仿宋" w:cs="Arial"/>
          <w:sz w:val="24"/>
          <w:u w:val="single"/>
        </w:rPr>
        <w:t>XX万元/次</w:t>
      </w:r>
      <w:r>
        <w:rPr>
          <w:rFonts w:hint="eastAsia" w:ascii="仿宋" w:hAnsi="仿宋" w:eastAsia="仿宋" w:cs="Arial"/>
          <w:sz w:val="24"/>
        </w:rPr>
        <w:t>，因此，本项目差旅费为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（3）专家咨询费是指在项目研究试制过程中一次性支付给外单位专家的评审咨询费用。本项目期间因</w:t>
      </w:r>
      <w:r>
        <w:rPr>
          <w:rFonts w:hint="eastAsia" w:ascii="仿宋" w:hAnsi="仿宋" w:eastAsia="仿宋" w:cs="Arial"/>
          <w:sz w:val="24"/>
          <w:u w:val="single"/>
        </w:rPr>
        <w:t>XX任务</w:t>
      </w:r>
      <w:r>
        <w:rPr>
          <w:rFonts w:hint="eastAsia" w:ascii="仿宋" w:hAnsi="仿宋" w:eastAsia="仿宋" w:cs="Arial"/>
          <w:sz w:val="24"/>
        </w:rPr>
        <w:t>预计发生专家咨询次数为</w:t>
      </w:r>
      <w:r>
        <w:rPr>
          <w:rFonts w:hint="eastAsia" w:ascii="仿宋" w:hAnsi="仿宋" w:eastAsia="仿宋" w:cs="Arial"/>
          <w:sz w:val="24"/>
          <w:u w:val="single"/>
        </w:rPr>
        <w:t>XX</w:t>
      </w:r>
      <w:r>
        <w:rPr>
          <w:rFonts w:hint="eastAsia" w:ascii="仿宋" w:hAnsi="仿宋" w:eastAsia="仿宋" w:cs="Arial"/>
          <w:sz w:val="24"/>
        </w:rPr>
        <w:t>，预计平均专家咨询费标准为</w:t>
      </w:r>
      <w:r>
        <w:rPr>
          <w:rFonts w:hint="eastAsia" w:ascii="仿宋" w:hAnsi="仿宋" w:eastAsia="仿宋" w:cs="Arial"/>
          <w:sz w:val="24"/>
          <w:u w:val="single"/>
        </w:rPr>
        <w:t>XX万元/次</w:t>
      </w:r>
      <w:r>
        <w:rPr>
          <w:rFonts w:hint="eastAsia" w:ascii="仿宋" w:hAnsi="仿宋" w:eastAsia="仿宋" w:cs="Arial"/>
          <w:sz w:val="24"/>
        </w:rPr>
        <w:t>，因此，本项目专家咨询费为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事务费按项目类别分类计列：</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试制类项目和技术类项目，其事务费以材料费、专用费、50%外协费三项之和为基数，按不超过表一所列比例超额累退计算。</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研究类项目，其事务费以材料费、专用费、50%外协费、工资及劳务费四项之和为基数，按不超过表二所列比例超额累退计算。</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 xml:space="preserve">表6 超额累退比例表一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292"/>
        <w:gridCol w:w="1980"/>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restar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1930" w:type="pct"/>
            <w:vMerge w:val="restart"/>
            <w:shd w:val="clear" w:color="auto" w:fill="D9D9D9"/>
            <w:vAlign w:val="center"/>
          </w:tcPr>
          <w:p>
            <w:pPr>
              <w:widowControl/>
              <w:adjustRightInd w:val="0"/>
              <w:snapToGrid w:val="0"/>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外协费之和（万元）</w:t>
            </w:r>
          </w:p>
        </w:tc>
        <w:tc>
          <w:tcPr>
            <w:tcW w:w="2432" w:type="pct"/>
            <w:gridSpan w:val="2"/>
            <w:shd w:val="clear" w:color="auto" w:fill="D9D9D9"/>
            <w:vAlign w:val="center"/>
          </w:tcPr>
          <w:p>
            <w:pPr>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930"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16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sz w:val="18"/>
                <w:szCs w:val="18"/>
              </w:rPr>
              <w:t>试制类</w:t>
            </w:r>
            <w:r>
              <w:rPr>
                <w:rFonts w:hint="eastAsia" w:ascii="仿宋" w:hAnsi="仿宋" w:eastAsia="仿宋" w:cs="仿宋_GB2312"/>
                <w:b/>
                <w:kern w:val="0"/>
                <w:sz w:val="18"/>
                <w:szCs w:val="18"/>
              </w:rPr>
              <w:t>项目</w:t>
            </w:r>
          </w:p>
        </w:tc>
        <w:tc>
          <w:tcPr>
            <w:tcW w:w="127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kern w:val="0"/>
                <w:sz w:val="18"/>
                <w:szCs w:val="18"/>
              </w:rPr>
              <w:t>技术类项目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w:t>
            </w:r>
            <w:r>
              <w:rPr>
                <w:rFonts w:hint="eastAsia" w:ascii="仿宋" w:hAnsi="仿宋" w:eastAsia="仿宋" w:cs="仿宋_GB2312"/>
                <w:kern w:val="0"/>
                <w:sz w:val="18"/>
                <w:szCs w:val="18"/>
              </w:rPr>
              <w:t>以下(含）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50-200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3</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200-500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11%</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4</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7%</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5</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6.5%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6</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5</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7</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5000-</w:t>
            </w:r>
            <w:r>
              <w:rPr>
                <w:rFonts w:ascii="仿宋" w:hAnsi="仿宋" w:eastAsia="仿宋" w:cs="仿宋_GB2312"/>
                <w:kern w:val="0"/>
                <w:sz w:val="18"/>
                <w:szCs w:val="18"/>
              </w:rPr>
              <w:t>10000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8</w:t>
            </w:r>
          </w:p>
        </w:tc>
        <w:tc>
          <w:tcPr>
            <w:tcW w:w="1930"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10000以上</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r>
    </w:tbl>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表7 超额累退比例表二</w:t>
      </w:r>
    </w:p>
    <w:tbl>
      <w:tblPr>
        <w:tblStyle w:val="28"/>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505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blHeader/>
          <w:jc w:val="center"/>
        </w:trPr>
        <w:tc>
          <w:tcPr>
            <w:tcW w:w="615"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2927"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外协费、工资及劳务费之和（万元）</w:t>
            </w:r>
          </w:p>
        </w:tc>
        <w:tc>
          <w:tcPr>
            <w:tcW w:w="1458"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研究类项目事务费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（含）以下</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3</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1000-2000（含）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4</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2000-</w:t>
            </w:r>
            <w:r>
              <w:rPr>
                <w:rFonts w:hint="eastAsia" w:ascii="仿宋" w:hAnsi="仿宋" w:eastAsia="仿宋" w:cs="仿宋_GB2312"/>
                <w:kern w:val="0"/>
                <w:sz w:val="18"/>
                <w:szCs w:val="18"/>
              </w:rPr>
              <w:t>5000（含）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5</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5000-10000（含）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6</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10000</w:t>
            </w:r>
            <w:r>
              <w:rPr>
                <w:rFonts w:hint="eastAsia" w:ascii="仿宋" w:hAnsi="仿宋" w:eastAsia="仿宋" w:cs="仿宋_GB2312"/>
                <w:kern w:val="0"/>
                <w:sz w:val="18"/>
                <w:szCs w:val="18"/>
              </w:rPr>
              <w:t>以上</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15%</w:t>
            </w:r>
          </w:p>
        </w:tc>
      </w:tr>
    </w:tbl>
    <w:p>
      <w:pPr>
        <w:pStyle w:val="2"/>
        <w:spacing w:before="156" w:beforeLines="50" w:after="156" w:afterLines="50" w:line="600" w:lineRule="exact"/>
        <w:rPr>
          <w:rFonts w:ascii="仿宋" w:hAnsi="仿宋" w:eastAsia="仿宋"/>
          <w:sz w:val="24"/>
          <w:szCs w:val="24"/>
        </w:rPr>
      </w:pPr>
      <w:bookmarkStart w:id="18" w:name="_Toc15481535"/>
      <w:bookmarkStart w:id="19" w:name="_Toc17971463"/>
      <w:r>
        <w:rPr>
          <w:rFonts w:hint="eastAsia" w:ascii="仿宋" w:hAnsi="仿宋" w:eastAsia="仿宋"/>
          <w:sz w:val="24"/>
          <w:szCs w:val="24"/>
        </w:rPr>
        <w:t>3.6 固定资产折旧费</w:t>
      </w:r>
      <w:bookmarkEnd w:id="18"/>
      <w:bookmarkEnd w:id="19"/>
    </w:p>
    <w:p>
      <w:pPr>
        <w:spacing w:line="300" w:lineRule="auto"/>
        <w:ind w:firstLine="480" w:firstLineChars="200"/>
        <w:rPr>
          <w:rFonts w:ascii="仿宋" w:hAnsi="仿宋" w:eastAsia="仿宋" w:cs="Arial"/>
          <w:sz w:val="30"/>
          <w:szCs w:val="30"/>
        </w:rPr>
      </w:pPr>
      <w:r>
        <w:rPr>
          <w:rFonts w:hint="eastAsia" w:ascii="仿宋" w:hAnsi="仿宋" w:eastAsia="仿宋" w:cs="Arial"/>
          <w:sz w:val="24"/>
        </w:rPr>
        <w:t>固定资产折旧费是指在项目研究、试制过程中直接用于该项目的固定资产应计列的折旧。本项目固定资产折旧费为</w:t>
      </w:r>
      <w:r>
        <w:rPr>
          <w:rFonts w:hint="eastAsia" w:ascii="仿宋" w:hAnsi="仿宋" w:eastAsia="仿宋" w:cs="Arial"/>
          <w:sz w:val="24"/>
          <w:u w:val="single"/>
        </w:rPr>
        <w:t>XX万元</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30"/>
          <w:szCs w:val="30"/>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表8 XX单位固定资产折旧数据表</w:t>
      </w:r>
    </w:p>
    <w:tbl>
      <w:tblPr>
        <w:tblStyle w:val="28"/>
        <w:tblW w:w="5000" w:type="pct"/>
        <w:tblInd w:w="0" w:type="dxa"/>
        <w:tblLayout w:type="autofit"/>
        <w:tblCellMar>
          <w:top w:w="0" w:type="dxa"/>
          <w:left w:w="108" w:type="dxa"/>
          <w:bottom w:w="0" w:type="dxa"/>
          <w:right w:w="108" w:type="dxa"/>
        </w:tblCellMar>
      </w:tblPr>
      <w:tblGrid>
        <w:gridCol w:w="578"/>
        <w:gridCol w:w="939"/>
        <w:gridCol w:w="1428"/>
        <w:gridCol w:w="708"/>
        <w:gridCol w:w="2308"/>
        <w:gridCol w:w="2567"/>
      </w:tblGrid>
      <w:tr>
        <w:tblPrEx>
          <w:tblCellMar>
            <w:top w:w="0" w:type="dxa"/>
            <w:left w:w="108" w:type="dxa"/>
            <w:bottom w:w="0" w:type="dxa"/>
            <w:right w:w="108" w:type="dxa"/>
          </w:tblCellMar>
        </w:tblPrEx>
        <w:trPr>
          <w:trHeight w:val="270" w:hRule="atLeast"/>
        </w:trPr>
        <w:tc>
          <w:tcPr>
            <w:tcW w:w="339"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51"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资产名称</w:t>
            </w:r>
          </w:p>
        </w:tc>
        <w:tc>
          <w:tcPr>
            <w:tcW w:w="83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（万元）</w:t>
            </w:r>
          </w:p>
        </w:tc>
        <w:tc>
          <w:tcPr>
            <w:tcW w:w="415"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资产类别</w:t>
            </w:r>
          </w:p>
        </w:tc>
        <w:tc>
          <w:tcPr>
            <w:tcW w:w="1353"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是否直接</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用于本项目</w:t>
            </w:r>
          </w:p>
        </w:tc>
        <w:tc>
          <w:tcPr>
            <w:tcW w:w="150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直接用于本项目</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资产原值（万元）</w:t>
            </w:r>
          </w:p>
        </w:tc>
      </w:tr>
      <w:tr>
        <w:tblPrEx>
          <w:tblCellMar>
            <w:top w:w="0" w:type="dxa"/>
            <w:left w:w="108" w:type="dxa"/>
            <w:bottom w:w="0" w:type="dxa"/>
            <w:right w:w="108" w:type="dxa"/>
          </w:tblCellMar>
        </w:tblPrEx>
        <w:trPr>
          <w:trHeight w:val="270"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3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35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5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889" w:type="pct"/>
            <w:gridSpan w:val="2"/>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37"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41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353"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50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rPr>
          <w:rFonts w:ascii="仿宋" w:hAnsi="仿宋" w:eastAsia="仿宋"/>
        </w:rPr>
      </w:pPr>
      <w:r>
        <w:rPr>
          <w:rFonts w:hint="eastAsia" w:ascii="仿宋" w:hAnsi="仿宋" w:eastAsia="仿宋"/>
        </w:rPr>
        <w:t>注：资产类别填写房屋类/设备类。</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.7 </w:t>
      </w:r>
      <w:r>
        <w:rPr>
          <w:rFonts w:hint="eastAsia" w:ascii="仿宋" w:hAnsi="仿宋" w:eastAsia="仿宋"/>
          <w:sz w:val="24"/>
          <w:szCs w:val="24"/>
        </w:rPr>
        <w:t>管理费</w:t>
      </w:r>
    </w:p>
    <w:p>
      <w:pPr>
        <w:spacing w:line="300" w:lineRule="auto"/>
        <w:ind w:firstLine="480" w:firstLineChars="200"/>
        <w:rPr>
          <w:rFonts w:ascii="仿宋" w:hAnsi="仿宋" w:eastAsia="仿宋" w:cs="Arial"/>
          <w:sz w:val="24"/>
        </w:rPr>
      </w:pPr>
      <w:r>
        <w:rPr>
          <w:rFonts w:hint="eastAsia" w:ascii="仿宋" w:hAnsi="仿宋" w:eastAsia="仿宋" w:cs="Arial"/>
          <w:sz w:val="24"/>
        </w:rPr>
        <w:t>管理费是指在项目研究、试制过程中直接发生的管理性支出，以及分摊转入的研制费用（或制造费用）及管理费用等。本项目管理费为</w:t>
      </w:r>
      <w:r>
        <w:rPr>
          <w:rFonts w:hint="eastAsia" w:ascii="仿宋" w:hAnsi="仿宋" w:eastAsia="仿宋" w:cs="Arial"/>
          <w:sz w:val="24"/>
          <w:u w:val="single"/>
        </w:rPr>
        <w:t>XX万元</w:t>
      </w:r>
      <w:r>
        <w:rPr>
          <w:rFonts w:hint="eastAsia" w:ascii="仿宋" w:hAnsi="仿宋" w:eastAsia="仿宋" w:cs="Arial"/>
          <w:sz w:val="24"/>
        </w:rPr>
        <w:t>，计算比例为</w:t>
      </w:r>
      <w:r>
        <w:rPr>
          <w:rFonts w:hint="eastAsia" w:ascii="仿宋" w:hAnsi="仿宋" w:eastAsia="仿宋" w:cs="Arial"/>
          <w:sz w:val="24"/>
          <w:u w:val="single"/>
        </w:rPr>
        <w:t>XX</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试制类项目的管理费按不超过材料费、专用费、50%外协费、燃料动力费、事务费、固定资产折旧费六项之和的12%计列。</w:t>
      </w:r>
    </w:p>
    <w:p>
      <w:pPr>
        <w:spacing w:line="300" w:lineRule="auto"/>
        <w:ind w:firstLine="480" w:firstLineChars="200"/>
        <w:rPr>
          <w:rFonts w:ascii="仿宋" w:hAnsi="仿宋" w:eastAsia="仿宋" w:cs="Arial"/>
          <w:sz w:val="24"/>
        </w:rPr>
      </w:pPr>
      <w:r>
        <w:rPr>
          <w:rFonts w:hint="eastAsia" w:ascii="仿宋" w:hAnsi="仿宋" w:eastAsia="仿宋" w:cs="Arial"/>
          <w:sz w:val="24"/>
        </w:rPr>
        <w:t>技术类项目的管理费按不超过材料费、专用费、50%外协费、燃料动力费、事务费、固定资产折旧费六项之和的15%计列。</w:t>
      </w:r>
    </w:p>
    <w:p>
      <w:pPr>
        <w:spacing w:line="300" w:lineRule="auto"/>
        <w:ind w:firstLine="480" w:firstLineChars="200"/>
        <w:rPr>
          <w:rFonts w:ascii="仿宋" w:hAnsi="仿宋" w:eastAsia="仿宋" w:cs="Arial"/>
          <w:sz w:val="24"/>
        </w:rPr>
      </w:pPr>
      <w:r>
        <w:rPr>
          <w:rFonts w:hint="eastAsia" w:ascii="仿宋" w:hAnsi="仿宋" w:eastAsia="仿宋" w:cs="Arial"/>
          <w:sz w:val="24"/>
        </w:rPr>
        <w:t>研究类项目的管理费按不超过材料费、专用费、50%外协费、燃料动力费、事务费、固定资产折旧费、工资及劳务费七项之和的20%计列。</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 xml:space="preserve"> </w:t>
      </w:r>
      <w:r>
        <w:rPr>
          <w:rFonts w:hint="eastAsia" w:ascii="仿宋" w:hAnsi="仿宋" w:eastAsia="仿宋"/>
          <w:sz w:val="24"/>
          <w:szCs w:val="24"/>
        </w:rPr>
        <w:t>工资及劳务费</w:t>
      </w:r>
    </w:p>
    <w:p>
      <w:pPr>
        <w:spacing w:line="300" w:lineRule="auto"/>
        <w:ind w:firstLine="480" w:firstLineChars="200"/>
        <w:rPr>
          <w:rFonts w:ascii="仿宋" w:hAnsi="仿宋" w:eastAsia="仿宋" w:cs="Arial"/>
          <w:sz w:val="24"/>
        </w:rPr>
      </w:pPr>
      <w:r>
        <w:rPr>
          <w:rFonts w:hint="eastAsia" w:ascii="仿宋" w:hAnsi="仿宋" w:eastAsia="仿宋" w:cs="Arial"/>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hint="eastAsia" w:ascii="仿宋" w:hAnsi="仿宋" w:eastAsia="仿宋" w:cs="Arial"/>
          <w:sz w:val="24"/>
          <w:u w:val="single"/>
        </w:rPr>
        <w:t>XX万元</w:t>
      </w:r>
      <w:r>
        <w:rPr>
          <w:rFonts w:hint="eastAsia" w:ascii="仿宋" w:hAnsi="仿宋" w:eastAsia="仿宋" w:cs="Arial"/>
          <w:sz w:val="24"/>
        </w:rPr>
        <w:t>，预计投入人员</w:t>
      </w:r>
      <w:r>
        <w:rPr>
          <w:rFonts w:hint="eastAsia" w:ascii="仿宋" w:hAnsi="仿宋" w:eastAsia="仿宋" w:cs="Arial"/>
          <w:sz w:val="24"/>
          <w:u w:val="single"/>
        </w:rPr>
        <w:t>XX人</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表9 XX单位近三年工资及劳务费数据</w:t>
      </w:r>
    </w:p>
    <w:tbl>
      <w:tblPr>
        <w:tblStyle w:val="28"/>
        <w:tblW w:w="5000" w:type="pct"/>
        <w:tblInd w:w="0" w:type="dxa"/>
        <w:tblLayout w:type="autofit"/>
        <w:tblCellMar>
          <w:top w:w="0" w:type="dxa"/>
          <w:left w:w="108" w:type="dxa"/>
          <w:bottom w:w="0" w:type="dxa"/>
          <w:right w:w="108" w:type="dxa"/>
        </w:tblCellMar>
      </w:tblPr>
      <w:tblGrid>
        <w:gridCol w:w="2678"/>
        <w:gridCol w:w="2251"/>
        <w:gridCol w:w="1700"/>
        <w:gridCol w:w="1899"/>
      </w:tblGrid>
      <w:tr>
        <w:tblPrEx>
          <w:tblCellMar>
            <w:top w:w="0" w:type="dxa"/>
            <w:left w:w="108" w:type="dxa"/>
            <w:bottom w:w="0" w:type="dxa"/>
            <w:right w:w="108" w:type="dxa"/>
          </w:tblCellMar>
        </w:tblPrEx>
        <w:trPr>
          <w:trHeight w:val="270" w:hRule="atLeast"/>
          <w:tblHeader/>
        </w:trPr>
        <w:tc>
          <w:tcPr>
            <w:tcW w:w="1570"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年度</w:t>
            </w:r>
          </w:p>
        </w:tc>
        <w:tc>
          <w:tcPr>
            <w:tcW w:w="1320"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N-2年</w:t>
            </w:r>
          </w:p>
        </w:tc>
        <w:tc>
          <w:tcPr>
            <w:tcW w:w="99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N-1年</w:t>
            </w:r>
          </w:p>
        </w:tc>
        <w:tc>
          <w:tcPr>
            <w:tcW w:w="111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N年</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薪酬总额（万元）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事业费拨款（万元）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营业总收入（万元）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平均在岗职工人数</w:t>
            </w:r>
          </w:p>
        </w:tc>
        <w:tc>
          <w:tcPr>
            <w:tcW w:w="1320"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pPr>
        <w:rPr>
          <w:rFonts w:ascii="仿宋" w:hAnsi="仿宋" w:eastAsia="仿宋"/>
        </w:rPr>
      </w:pPr>
      <w:r>
        <w:rPr>
          <w:rFonts w:hint="eastAsia" w:ascii="仿宋" w:hAnsi="仿宋" w:eastAsia="仿宋"/>
        </w:rPr>
        <w:t>注：N为报价当年</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3.9</w:t>
      </w:r>
      <w:r>
        <w:rPr>
          <w:rFonts w:ascii="仿宋" w:hAnsi="仿宋" w:eastAsia="仿宋"/>
          <w:sz w:val="24"/>
          <w:szCs w:val="24"/>
        </w:rPr>
        <w:t xml:space="preserve"> </w:t>
      </w:r>
      <w:r>
        <w:rPr>
          <w:rFonts w:hint="eastAsia" w:ascii="仿宋" w:hAnsi="仿宋" w:eastAsia="仿宋"/>
          <w:sz w:val="24"/>
          <w:szCs w:val="24"/>
        </w:rPr>
        <w:t>预计收益</w:t>
      </w:r>
    </w:p>
    <w:p>
      <w:pPr>
        <w:spacing w:line="300" w:lineRule="auto"/>
        <w:ind w:firstLine="480" w:firstLineChars="200"/>
        <w:rPr>
          <w:rFonts w:ascii="仿宋" w:hAnsi="仿宋" w:eastAsia="仿宋" w:cs="Arial"/>
          <w:sz w:val="24"/>
        </w:rPr>
      </w:pPr>
      <w:r>
        <w:rPr>
          <w:rFonts w:hint="eastAsia" w:ascii="仿宋" w:hAnsi="仿宋" w:eastAsia="仿宋" w:cs="Arial"/>
          <w:sz w:val="24"/>
        </w:rPr>
        <w:t>项目预计收益是指项目承担单位完成科研项目预计获得的利润。预计收益按项目预计成本扣除材料费中的外购成品费，专用费及外协费后的5%计列。</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本项目收益</w:t>
      </w:r>
      <w:bookmarkEnd w:id="15"/>
      <w:bookmarkEnd w:id="16"/>
      <w:r>
        <w:rPr>
          <w:rFonts w:hint="eastAsia" w:ascii="仿宋" w:hAnsi="仿宋" w:eastAsia="仿宋" w:cs="Arial"/>
          <w:sz w:val="24"/>
        </w:rPr>
        <w:t>为</w:t>
      </w:r>
      <w:r>
        <w:rPr>
          <w:rFonts w:hint="eastAsia" w:ascii="仿宋" w:hAnsi="仿宋" w:eastAsia="仿宋" w:cs="Arial"/>
          <w:sz w:val="24"/>
          <w:u w:val="single"/>
        </w:rPr>
        <w:t>XX万元</w:t>
      </w:r>
      <w:r>
        <w:rPr>
          <w:rFonts w:hint="eastAsia" w:ascii="仿宋" w:hAnsi="仿宋" w:eastAsia="仿宋" w:cs="Arial"/>
          <w:sz w:val="24"/>
        </w:rPr>
        <w:t>，计提比例为</w:t>
      </w:r>
      <w:r>
        <w:rPr>
          <w:rFonts w:hint="eastAsia" w:ascii="仿宋" w:hAnsi="仿宋" w:eastAsia="仿宋" w:cs="Arial"/>
          <w:sz w:val="24"/>
          <w:u w:val="single"/>
        </w:rPr>
        <w:t>XX</w:t>
      </w:r>
      <w:r>
        <w:rPr>
          <w:rFonts w:hint="eastAsia" w:ascii="仿宋" w:hAnsi="仿宋" w:eastAsia="仿宋" w:cs="Arial"/>
          <w:sz w:val="24"/>
        </w:rPr>
        <w:t>。</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4.机械加工类报价补充材料</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若项目属于机械加工类，还需提供以下补充材料，详见表10。</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表10 机械加工类报价补充材料</w:t>
      </w:r>
    </w:p>
    <w:tbl>
      <w:tblPr>
        <w:tblStyle w:val="28"/>
        <w:tblW w:w="5000" w:type="pct"/>
        <w:tblInd w:w="0" w:type="dxa"/>
        <w:tblLayout w:type="autofit"/>
        <w:tblCellMar>
          <w:top w:w="0" w:type="dxa"/>
          <w:left w:w="108" w:type="dxa"/>
          <w:bottom w:w="0" w:type="dxa"/>
          <w:right w:w="108" w:type="dxa"/>
        </w:tblCellMar>
      </w:tblPr>
      <w:tblGrid>
        <w:gridCol w:w="597"/>
        <w:gridCol w:w="597"/>
        <w:gridCol w:w="597"/>
        <w:gridCol w:w="759"/>
        <w:gridCol w:w="1121"/>
        <w:gridCol w:w="1359"/>
        <w:gridCol w:w="774"/>
        <w:gridCol w:w="653"/>
        <w:gridCol w:w="653"/>
        <w:gridCol w:w="658"/>
        <w:gridCol w:w="760"/>
      </w:tblGrid>
      <w:tr>
        <w:tblPrEx>
          <w:tblCellMar>
            <w:top w:w="0" w:type="dxa"/>
            <w:left w:w="108" w:type="dxa"/>
            <w:bottom w:w="0" w:type="dxa"/>
            <w:right w:w="108" w:type="dxa"/>
          </w:tblCellMar>
        </w:tblPrEx>
        <w:trPr>
          <w:trHeight w:val="270" w:hRule="atLeast"/>
        </w:trPr>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图号</w:t>
            </w:r>
            <w:r>
              <w:rPr>
                <w:b/>
                <w:bCs/>
                <w:color w:val="000000"/>
                <w:kern w:val="0"/>
                <w:sz w:val="18"/>
                <w:szCs w:val="18"/>
              </w:rPr>
              <w:t xml:space="preserve"> </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（元）</w:t>
            </w:r>
          </w:p>
        </w:tc>
        <w:tc>
          <w:tcPr>
            <w:tcW w:w="3060" w:type="pct"/>
            <w:gridSpan w:val="6"/>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单价组成（元）</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总价（元）</w:t>
            </w: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908" w:type="pct"/>
            <w:gridSpan w:val="3"/>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原材料费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加工费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工装费</w:t>
            </w:r>
          </w:p>
        </w:tc>
        <w:tc>
          <w:tcPr>
            <w:tcW w:w="386"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其他费用</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5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重量</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（kg）</w:t>
            </w:r>
          </w:p>
        </w:tc>
        <w:tc>
          <w:tcPr>
            <w:tcW w:w="79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单价</w:t>
            </w:r>
          </w:p>
          <w:p>
            <w:pPr>
              <w:widowControl/>
              <w:jc w:val="center"/>
              <w:rPr>
                <w:b/>
                <w:bCs/>
                <w:color w:val="000000"/>
                <w:kern w:val="0"/>
                <w:sz w:val="18"/>
                <w:szCs w:val="18"/>
              </w:rPr>
            </w:pPr>
            <w:r>
              <w:rPr>
                <w:rFonts w:hint="eastAsia" w:ascii="宋体" w:hAnsi="宋体"/>
                <w:b/>
                <w:bCs/>
                <w:color w:val="000000"/>
                <w:kern w:val="0"/>
                <w:sz w:val="18"/>
                <w:szCs w:val="18"/>
              </w:rPr>
              <w:t>（元</w:t>
            </w:r>
            <w:r>
              <w:rPr>
                <w:b/>
                <w:bCs/>
                <w:color w:val="000000"/>
                <w:kern w:val="0"/>
                <w:sz w:val="18"/>
                <w:szCs w:val="18"/>
              </w:rPr>
              <w:t>/kg</w:t>
            </w:r>
            <w:r>
              <w:rPr>
                <w:rFonts w:hint="eastAsia" w:ascii="宋体" w:hAnsi="宋体"/>
                <w:b/>
                <w:bCs/>
                <w:color w:val="000000"/>
                <w:kern w:val="0"/>
                <w:sz w:val="18"/>
                <w:szCs w:val="18"/>
              </w:rPr>
              <w:t>）</w:t>
            </w:r>
          </w:p>
        </w:tc>
        <w:tc>
          <w:tcPr>
            <w:tcW w:w="454" w:type="pct"/>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小计（元）</w:t>
            </w: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79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54"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bl>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5.税率</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5.1税负</w:t>
      </w:r>
    </w:p>
    <w:p>
      <w:pPr>
        <w:spacing w:line="300" w:lineRule="auto"/>
        <w:ind w:firstLine="480" w:firstLineChars="200"/>
        <w:rPr>
          <w:rFonts w:ascii="仿宋" w:hAnsi="仿宋" w:eastAsia="仿宋" w:cs="Arial"/>
          <w:sz w:val="24"/>
        </w:rPr>
      </w:pPr>
      <w:r>
        <w:rPr>
          <w:rFonts w:hint="eastAsia" w:ascii="仿宋" w:hAnsi="仿宋" w:eastAsia="仿宋" w:cs="Arial"/>
          <w:sz w:val="24"/>
        </w:rPr>
        <w:t>报价各成本项均为含税采购价，报价中的税负率根据不同行业有所不同，一般在3%至6%之间波动，本项目税负率为</w:t>
      </w:r>
      <w:r>
        <w:rPr>
          <w:rFonts w:hint="eastAsia" w:ascii="仿宋" w:hAnsi="仿宋" w:eastAsia="仿宋" w:cs="Arial"/>
          <w:sz w:val="24"/>
          <w:u w:val="single"/>
        </w:rPr>
        <w:t>XX</w:t>
      </w:r>
      <w:r>
        <w:rPr>
          <w:rFonts w:hint="eastAsia" w:ascii="仿宋" w:hAnsi="仿宋" w:eastAsia="仿宋" w:cs="Arial"/>
          <w:sz w:val="24"/>
        </w:rPr>
        <w:t>。</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5.2增值税</w:t>
      </w:r>
    </w:p>
    <w:p>
      <w:pPr>
        <w:spacing w:line="300" w:lineRule="auto"/>
        <w:ind w:firstLine="480" w:firstLineChars="200"/>
        <w:rPr>
          <w:rFonts w:ascii="仿宋" w:hAnsi="仿宋" w:eastAsia="仿宋" w:cs="Arial"/>
          <w:sz w:val="24"/>
        </w:rPr>
      </w:pPr>
      <w:r>
        <w:rPr>
          <w:rFonts w:hint="eastAsia" w:ascii="仿宋" w:hAnsi="仿宋" w:eastAsia="仿宋" w:cs="Arial"/>
          <w:sz w:val="24"/>
        </w:rPr>
        <w:t>购业务中涉及的增值税税率主要有以下情况：</w:t>
      </w:r>
    </w:p>
    <w:p>
      <w:pPr>
        <w:spacing w:line="300" w:lineRule="auto"/>
        <w:ind w:firstLine="480" w:firstLineChars="200"/>
        <w:rPr>
          <w:rFonts w:ascii="仿宋" w:hAnsi="仿宋" w:eastAsia="仿宋" w:cs="Arial"/>
          <w:sz w:val="24"/>
        </w:rPr>
      </w:pPr>
      <w:r>
        <w:rPr>
          <w:rFonts w:hint="eastAsia" w:ascii="仿宋" w:hAnsi="仿宋" w:eastAsia="仿宋" w:cs="Arial"/>
          <w:sz w:val="24"/>
        </w:rPr>
        <w:t>（一）对方为增值税一般纳税人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1.采购一般货物，适用基本税率13%。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2.对方提供加工或修理修配劳务，适用基本税率13%。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3.进口一般货物，适用基本税率13%。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4.对方向我所提供研发和技术服务等现代服务，适用税率6%。</w:t>
      </w:r>
    </w:p>
    <w:p>
      <w:pPr>
        <w:spacing w:line="300" w:lineRule="auto"/>
        <w:ind w:firstLine="480" w:firstLineChars="200"/>
        <w:rPr>
          <w:rFonts w:ascii="仿宋" w:hAnsi="仿宋" w:eastAsia="仿宋" w:cs="Arial"/>
          <w:sz w:val="24"/>
        </w:rPr>
      </w:pPr>
      <w:r>
        <w:rPr>
          <w:rFonts w:hint="eastAsia" w:ascii="仿宋" w:hAnsi="仿宋" w:eastAsia="仿宋" w:cs="Arial"/>
          <w:sz w:val="24"/>
        </w:rPr>
        <w:t>5.非企业性单位（比如高校）提供研发和技术服务可选择简易计税办法适用3%征收率。</w:t>
      </w:r>
    </w:p>
    <w:p>
      <w:pPr>
        <w:spacing w:line="300" w:lineRule="auto"/>
        <w:ind w:firstLine="480" w:firstLineChars="200"/>
        <w:rPr>
          <w:rFonts w:ascii="仿宋" w:hAnsi="仿宋" w:eastAsia="仿宋" w:cs="Arial"/>
          <w:sz w:val="24"/>
        </w:rPr>
      </w:pPr>
      <w:r>
        <w:rPr>
          <w:rFonts w:hint="eastAsia" w:ascii="仿宋" w:hAnsi="仿宋" w:eastAsia="仿宋" w:cs="Arial"/>
          <w:sz w:val="24"/>
        </w:rPr>
        <w:t>（二）对方为增值税小规模纳税人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从小规模纳税人采购，适用征收率3%。</w:t>
      </w:r>
    </w:p>
    <w:p>
      <w:pPr>
        <w:pStyle w:val="2"/>
        <w:spacing w:before="156" w:beforeLines="50" w:after="156" w:afterLines="50" w:line="600" w:lineRule="exact"/>
        <w:rPr>
          <w:rFonts w:ascii="仿宋" w:hAnsi="仿宋" w:eastAsia="仿宋"/>
          <w:sz w:val="24"/>
          <w:szCs w:val="24"/>
        </w:rPr>
      </w:pPr>
      <w:r>
        <w:rPr>
          <w:rFonts w:hint="eastAsia" w:ascii="仿宋" w:hAnsi="仿宋" w:eastAsia="仿宋"/>
          <w:sz w:val="24"/>
          <w:szCs w:val="24"/>
        </w:rPr>
        <w:t>6.其他说明</w:t>
      </w:r>
    </w:p>
    <w:p>
      <w:pPr>
        <w:spacing w:line="300" w:lineRule="auto"/>
        <w:ind w:firstLine="480" w:firstLineChars="200"/>
        <w:rPr>
          <w:rFonts w:ascii="仿宋" w:hAnsi="仿宋" w:eastAsia="仿宋" w:cs="Arial"/>
          <w:sz w:val="24"/>
        </w:rPr>
      </w:pPr>
      <w:r>
        <w:rPr>
          <w:rFonts w:hint="eastAsia" w:ascii="仿宋" w:hAnsi="仿宋" w:eastAsia="仿宋" w:cs="Arial"/>
          <w:sz w:val="24"/>
        </w:rPr>
        <w:t>若有其它支撑材料及说明，请在此处描述，若无则忽略本章节。</w:t>
      </w:r>
    </w:p>
    <w:p/>
    <w:p/>
    <w:p>
      <w:pPr>
        <w:spacing w:line="400" w:lineRule="exact"/>
        <w:rPr>
          <w:spacing w:val="10"/>
          <w:sz w:val="24"/>
        </w:rPr>
      </w:pPr>
    </w:p>
    <w:p>
      <w:pPr>
        <w:widowControl/>
        <w:jc w:val="left"/>
        <w:rPr>
          <w:spacing w:val="10"/>
          <w:sz w:val="24"/>
        </w:rPr>
      </w:pPr>
      <w:r>
        <w:rPr>
          <w:spacing w:val="10"/>
          <w:sz w:val="24"/>
        </w:rPr>
        <w:br w:type="page"/>
      </w:r>
    </w:p>
    <w:p>
      <w:pPr>
        <w:pStyle w:val="3"/>
      </w:pPr>
      <w:r>
        <w:rPr>
          <w:rFonts w:hint="eastAsia"/>
        </w:rPr>
        <w:t>附件6：</w:t>
      </w:r>
    </w:p>
    <w:p>
      <w:pPr>
        <w:spacing w:line="400" w:lineRule="exact"/>
        <w:ind w:firstLine="602" w:firstLineChars="200"/>
        <w:jc w:val="center"/>
        <w:rPr>
          <w:b/>
          <w:spacing w:val="10"/>
          <w:sz w:val="28"/>
          <w:szCs w:val="28"/>
        </w:rPr>
      </w:pPr>
      <w:r>
        <w:rPr>
          <w:rFonts w:hint="eastAsia"/>
          <w:b/>
          <w:spacing w:val="10"/>
          <w:sz w:val="28"/>
          <w:szCs w:val="28"/>
        </w:rPr>
        <w:t>项目简要说明一览表(适用于提供给招标方软件系统、硬件设备等固定资产类，如无上述内容可不填报)</w:t>
      </w:r>
    </w:p>
    <w:p>
      <w:pPr>
        <w:spacing w:line="400" w:lineRule="exact"/>
        <w:rPr>
          <w:spacing w:val="10"/>
          <w:sz w:val="24"/>
        </w:rPr>
      </w:pPr>
    </w:p>
    <w:p>
      <w:pPr>
        <w:spacing w:line="400" w:lineRule="exact"/>
        <w:rPr>
          <w:spacing w:val="10"/>
          <w:sz w:val="24"/>
          <w:u w:val="single"/>
        </w:rPr>
      </w:pPr>
      <w:r>
        <w:rPr>
          <w:rFonts w:hint="eastAsia"/>
          <w:spacing w:val="10"/>
          <w:sz w:val="24"/>
        </w:rPr>
        <w:t xml:space="preserve">询比价项目参与人名称：                    </w:t>
      </w:r>
      <w:r>
        <w:rPr>
          <w:rFonts w:hint="eastAsia" w:ascii="宋体" w:hAnsi="宋体"/>
          <w:sz w:val="24"/>
        </w:rPr>
        <w:t>询比价编号：</w:t>
      </w:r>
    </w:p>
    <w:p>
      <w:pPr>
        <w:spacing w:line="400" w:lineRule="exact"/>
        <w:rPr>
          <w:spacing w:val="10"/>
          <w:sz w:val="24"/>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3022"/>
        <w:gridCol w:w="955"/>
        <w:gridCol w:w="159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spacing w:line="400" w:lineRule="exact"/>
              <w:jc w:val="center"/>
              <w:rPr>
                <w:spacing w:val="10"/>
                <w:sz w:val="24"/>
              </w:rPr>
            </w:pPr>
            <w:r>
              <w:rPr>
                <w:rFonts w:hint="eastAsia"/>
                <w:spacing w:val="10"/>
                <w:sz w:val="24"/>
              </w:rPr>
              <w:t>序号</w:t>
            </w:r>
          </w:p>
        </w:tc>
        <w:tc>
          <w:tcPr>
            <w:tcW w:w="840" w:type="pct"/>
            <w:vAlign w:val="center"/>
          </w:tcPr>
          <w:p>
            <w:pPr>
              <w:spacing w:line="400" w:lineRule="exact"/>
              <w:jc w:val="center"/>
              <w:rPr>
                <w:spacing w:val="10"/>
                <w:sz w:val="24"/>
              </w:rPr>
            </w:pPr>
            <w:r>
              <w:rPr>
                <w:rFonts w:hint="eastAsia"/>
                <w:spacing w:val="10"/>
                <w:sz w:val="24"/>
              </w:rPr>
              <w:t>项目名称</w:t>
            </w:r>
          </w:p>
        </w:tc>
        <w:tc>
          <w:tcPr>
            <w:tcW w:w="1772" w:type="pct"/>
            <w:vAlign w:val="center"/>
          </w:tcPr>
          <w:p>
            <w:pPr>
              <w:spacing w:line="400" w:lineRule="exact"/>
              <w:jc w:val="center"/>
              <w:rPr>
                <w:spacing w:val="10"/>
                <w:sz w:val="24"/>
              </w:rPr>
            </w:pPr>
            <w:r>
              <w:rPr>
                <w:rFonts w:hint="eastAsia"/>
                <w:spacing w:val="10"/>
                <w:sz w:val="24"/>
              </w:rPr>
              <w:t>型号规格及主要技术参数</w:t>
            </w:r>
          </w:p>
        </w:tc>
        <w:tc>
          <w:tcPr>
            <w:tcW w:w="560" w:type="pct"/>
            <w:vAlign w:val="center"/>
          </w:tcPr>
          <w:p>
            <w:pPr>
              <w:spacing w:line="400" w:lineRule="exact"/>
              <w:jc w:val="center"/>
              <w:rPr>
                <w:spacing w:val="10"/>
                <w:sz w:val="24"/>
              </w:rPr>
            </w:pPr>
            <w:r>
              <w:rPr>
                <w:rFonts w:hint="eastAsia"/>
                <w:spacing w:val="10"/>
                <w:sz w:val="24"/>
              </w:rPr>
              <w:t>数量</w:t>
            </w:r>
          </w:p>
        </w:tc>
        <w:tc>
          <w:tcPr>
            <w:tcW w:w="933" w:type="pct"/>
            <w:vAlign w:val="center"/>
          </w:tcPr>
          <w:p>
            <w:pPr>
              <w:spacing w:line="400" w:lineRule="exact"/>
              <w:jc w:val="center"/>
              <w:rPr>
                <w:spacing w:val="10"/>
                <w:sz w:val="24"/>
              </w:rPr>
            </w:pPr>
            <w:r>
              <w:rPr>
                <w:rFonts w:hint="eastAsia"/>
                <w:spacing w:val="10"/>
                <w:sz w:val="24"/>
              </w:rPr>
              <w:t>性能说明</w:t>
            </w:r>
          </w:p>
        </w:tc>
        <w:tc>
          <w:tcPr>
            <w:tcW w:w="466" w:type="pct"/>
            <w:vAlign w:val="center"/>
          </w:tcPr>
          <w:p>
            <w:pPr>
              <w:spacing w:line="400" w:lineRule="exact"/>
              <w:jc w:val="center"/>
              <w:rPr>
                <w:spacing w:val="10"/>
                <w:sz w:val="24"/>
              </w:rPr>
            </w:pPr>
            <w:r>
              <w:rPr>
                <w:rFonts w:hint="eastAsia"/>
                <w:spacing w:val="1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bl>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pPr>
      <w:r>
        <w:rPr>
          <w:rFonts w:hint="eastAsia"/>
        </w:rPr>
        <w:t>附件7：</w:t>
      </w:r>
    </w:p>
    <w:p>
      <w:pPr>
        <w:spacing w:line="400" w:lineRule="exact"/>
        <w:ind w:firstLine="602" w:firstLineChars="200"/>
        <w:jc w:val="center"/>
        <w:rPr>
          <w:b/>
          <w:spacing w:val="10"/>
          <w:sz w:val="28"/>
          <w:szCs w:val="28"/>
        </w:rPr>
      </w:pPr>
      <w:r>
        <w:rPr>
          <w:rFonts w:hint="eastAsia"/>
          <w:b/>
          <w:spacing w:val="10"/>
          <w:sz w:val="28"/>
          <w:szCs w:val="28"/>
        </w:rPr>
        <w:t>商务条款偏离表</w:t>
      </w:r>
    </w:p>
    <w:p>
      <w:pPr>
        <w:spacing w:line="360" w:lineRule="atLeast"/>
        <w:rPr>
          <w:sz w:val="24"/>
        </w:rPr>
      </w:pPr>
    </w:p>
    <w:p>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pPr>
        <w:spacing w:line="400" w:lineRule="exact"/>
        <w:rPr>
          <w:spacing w:val="10"/>
          <w:sz w:val="24"/>
          <w:u w:val="single"/>
        </w:rPr>
      </w:pPr>
    </w:p>
    <w:tbl>
      <w:tblPr>
        <w:tblStyle w:val="28"/>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64"/>
        <w:gridCol w:w="3576"/>
        <w:gridCol w:w="2474"/>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277" w:type="pct"/>
            <w:vAlign w:val="center"/>
          </w:tcPr>
          <w:p>
            <w:pPr>
              <w:spacing w:before="120" w:line="360" w:lineRule="atLeast"/>
              <w:jc w:val="center"/>
              <w:rPr>
                <w:sz w:val="24"/>
              </w:rPr>
            </w:pPr>
            <w:r>
              <w:rPr>
                <w:rFonts w:hint="eastAsia"/>
                <w:sz w:val="24"/>
              </w:rPr>
              <w:t>序号</w:t>
            </w:r>
          </w:p>
        </w:tc>
        <w:tc>
          <w:tcPr>
            <w:tcW w:w="2137" w:type="pct"/>
            <w:vAlign w:val="center"/>
          </w:tcPr>
          <w:p>
            <w:pPr>
              <w:spacing w:before="120" w:line="360" w:lineRule="atLeast"/>
              <w:jc w:val="center"/>
              <w:rPr>
                <w:sz w:val="24"/>
              </w:rPr>
            </w:pPr>
            <w:r>
              <w:rPr>
                <w:rFonts w:hint="eastAsia"/>
                <w:sz w:val="24"/>
              </w:rPr>
              <w:t>询比价文件商务条款</w:t>
            </w:r>
          </w:p>
        </w:tc>
        <w:tc>
          <w:tcPr>
            <w:tcW w:w="1478" w:type="pct"/>
            <w:vAlign w:val="center"/>
          </w:tcPr>
          <w:p>
            <w:pPr>
              <w:spacing w:before="120" w:line="360" w:lineRule="atLeast"/>
              <w:jc w:val="center"/>
              <w:rPr>
                <w:sz w:val="24"/>
              </w:rPr>
            </w:pPr>
            <w:r>
              <w:rPr>
                <w:rFonts w:hint="eastAsia"/>
                <w:sz w:val="24"/>
              </w:rPr>
              <w:t>询比价商务条款</w:t>
            </w:r>
          </w:p>
        </w:tc>
        <w:tc>
          <w:tcPr>
            <w:tcW w:w="1108" w:type="pct"/>
            <w:tcBorders>
              <w:right w:val="single" w:color="auto" w:sz="4" w:space="0"/>
            </w:tcBorders>
            <w:vAlign w:val="center"/>
          </w:tcPr>
          <w:p>
            <w:pPr>
              <w:spacing w:before="120" w:line="360" w:lineRule="atLeast"/>
              <w:jc w:val="center"/>
              <w:rPr>
                <w:sz w:val="24"/>
              </w:rPr>
            </w:pPr>
            <w:r>
              <w:rPr>
                <w:rFonts w:hint="eastAsia"/>
                <w:sz w:val="24"/>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1" w:hRule="atLeast"/>
        </w:trPr>
        <w:tc>
          <w:tcPr>
            <w:tcW w:w="277" w:type="pct"/>
            <w:vAlign w:val="center"/>
          </w:tcPr>
          <w:p>
            <w:pPr>
              <w:spacing w:line="360" w:lineRule="atLeast"/>
              <w:jc w:val="center"/>
              <w:rPr>
                <w:sz w:val="24"/>
              </w:rPr>
            </w:pPr>
            <w:r>
              <w:rPr>
                <w:sz w:val="24"/>
              </w:rPr>
              <w:t>1</w:t>
            </w:r>
          </w:p>
        </w:tc>
        <w:tc>
          <w:tcPr>
            <w:tcW w:w="2137" w:type="pct"/>
            <w:vAlign w:val="center"/>
          </w:tcPr>
          <w:p>
            <w:pPr>
              <w:tabs>
                <w:tab w:val="left" w:pos="1080"/>
              </w:tab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8" w:hRule="atLeast"/>
        </w:trPr>
        <w:tc>
          <w:tcPr>
            <w:tcW w:w="277" w:type="pct"/>
            <w:vAlign w:val="center"/>
          </w:tcPr>
          <w:p>
            <w:pPr>
              <w:spacing w:line="360" w:lineRule="atLeast"/>
              <w:jc w:val="center"/>
              <w:rPr>
                <w:sz w:val="24"/>
              </w:rPr>
            </w:pPr>
            <w:r>
              <w:rPr>
                <w:sz w:val="24"/>
              </w:rPr>
              <w:t>2</w:t>
            </w:r>
          </w:p>
        </w:tc>
        <w:tc>
          <w:tcPr>
            <w:tcW w:w="2137" w:type="pct"/>
            <w:vAlign w:val="center"/>
          </w:tcPr>
          <w:p>
            <w:pPr>
              <w:tabs>
                <w:tab w:val="left" w:pos="1080"/>
                <w:tab w:val="left" w:pos="8280"/>
              </w:tabs>
              <w:suppressAutoHyphen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bl>
    <w:p>
      <w:pPr>
        <w:spacing w:line="360" w:lineRule="atLeast"/>
        <w:rPr>
          <w:sz w:val="24"/>
        </w:rPr>
      </w:pPr>
      <w:r>
        <w:rPr>
          <w:rFonts w:hint="eastAsia"/>
          <w:sz w:val="24"/>
        </w:rPr>
        <w:t>　</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pPr>
      <w:r>
        <w:rPr>
          <w:rFonts w:hint="eastAsia"/>
        </w:rPr>
        <w:t xml:space="preserve">附件8                </w:t>
      </w:r>
    </w:p>
    <w:p>
      <w:pPr>
        <w:spacing w:line="400" w:lineRule="exact"/>
        <w:ind w:firstLine="602" w:firstLineChars="200"/>
        <w:jc w:val="center"/>
        <w:rPr>
          <w:b/>
          <w:spacing w:val="10"/>
          <w:sz w:val="28"/>
          <w:szCs w:val="28"/>
        </w:rPr>
      </w:pPr>
      <w:r>
        <w:rPr>
          <w:rFonts w:hint="eastAsia"/>
          <w:b/>
          <w:spacing w:val="10"/>
          <w:sz w:val="28"/>
          <w:szCs w:val="28"/>
        </w:rPr>
        <w:t>技术规格响应/偏离表</w:t>
      </w:r>
    </w:p>
    <w:p>
      <w:pPr>
        <w:spacing w:line="360" w:lineRule="auto"/>
        <w:rPr>
          <w:sz w:val="24"/>
          <w:u w:val="single"/>
        </w:rPr>
      </w:pPr>
      <w:r>
        <w:rPr>
          <w:rFonts w:hint="eastAsia"/>
          <w:sz w:val="24"/>
        </w:rPr>
        <w:t>询比价项目参与人名称：</w:t>
      </w:r>
      <w:r>
        <w:rPr>
          <w:sz w:val="24"/>
        </w:rPr>
        <w:tab/>
      </w:r>
      <w:r>
        <w:rPr>
          <w:sz w:val="24"/>
        </w:rPr>
        <w:tab/>
      </w:r>
      <w:r>
        <w:rPr>
          <w:rFonts w:hint="eastAsia"/>
          <w:sz w:val="24"/>
        </w:rPr>
        <w:t>询比价编号：</w:t>
      </w:r>
    </w:p>
    <w:p>
      <w:pPr>
        <w:spacing w:line="360" w:lineRule="auto"/>
        <w:rPr>
          <w:sz w:val="24"/>
        </w:rPr>
      </w:pPr>
    </w:p>
    <w:tbl>
      <w:tblPr>
        <w:tblStyle w:val="28"/>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12"/>
        <w:gridCol w:w="833"/>
        <w:gridCol w:w="3531"/>
        <w:gridCol w:w="2835"/>
        <w:gridCol w:w="14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vAlign w:val="center"/>
          </w:tcPr>
          <w:p>
            <w:pPr>
              <w:spacing w:line="280" w:lineRule="exact"/>
              <w:rPr>
                <w:szCs w:val="21"/>
              </w:rPr>
            </w:pPr>
          </w:p>
        </w:tc>
        <w:tc>
          <w:tcPr>
            <w:tcW w:w="833" w:type="dxa"/>
            <w:vAlign w:val="center"/>
          </w:tcPr>
          <w:p>
            <w:pPr>
              <w:spacing w:line="280" w:lineRule="exact"/>
              <w:jc w:val="center"/>
              <w:rPr>
                <w:szCs w:val="21"/>
              </w:rPr>
            </w:pPr>
            <w:r>
              <w:rPr>
                <w:rFonts w:hint="eastAsia"/>
                <w:szCs w:val="21"/>
              </w:rPr>
              <w:t>序号</w:t>
            </w:r>
          </w:p>
        </w:tc>
        <w:tc>
          <w:tcPr>
            <w:tcW w:w="3531" w:type="dxa"/>
            <w:vAlign w:val="center"/>
          </w:tcPr>
          <w:p>
            <w:pPr>
              <w:spacing w:line="280" w:lineRule="exact"/>
              <w:jc w:val="center"/>
              <w:rPr>
                <w:szCs w:val="21"/>
              </w:rPr>
            </w:pPr>
            <w:r>
              <w:rPr>
                <w:rFonts w:hint="eastAsia"/>
                <w:szCs w:val="21"/>
              </w:rPr>
              <w:t>询比价文件要求</w:t>
            </w:r>
          </w:p>
        </w:tc>
        <w:tc>
          <w:tcPr>
            <w:tcW w:w="2835" w:type="dxa"/>
            <w:vAlign w:val="center"/>
          </w:tcPr>
          <w:p>
            <w:pPr>
              <w:spacing w:line="280" w:lineRule="exact"/>
              <w:jc w:val="center"/>
              <w:rPr>
                <w:szCs w:val="21"/>
              </w:rPr>
            </w:pPr>
            <w:r>
              <w:rPr>
                <w:rFonts w:hint="eastAsia"/>
                <w:szCs w:val="21"/>
              </w:rPr>
              <w:t>技术规格</w:t>
            </w:r>
          </w:p>
        </w:tc>
        <w:tc>
          <w:tcPr>
            <w:tcW w:w="1415" w:type="dxa"/>
            <w:vAlign w:val="center"/>
          </w:tcPr>
          <w:p>
            <w:pPr>
              <w:spacing w:line="280" w:lineRule="exact"/>
              <w:jc w:val="center"/>
              <w:rPr>
                <w:szCs w:val="21"/>
              </w:rPr>
            </w:pPr>
            <w:r>
              <w:rPr>
                <w:rFonts w:hint="eastAsia"/>
                <w:szCs w:val="21"/>
              </w:rPr>
              <w:t>响应/偏离</w:t>
            </w:r>
          </w:p>
        </w:tc>
        <w:tc>
          <w:tcPr>
            <w:tcW w:w="719" w:type="dxa"/>
            <w:vAlign w:val="center"/>
          </w:tcPr>
          <w:p>
            <w:pPr>
              <w:spacing w:line="280" w:lineRule="exact"/>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szCs w:val="21"/>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rFonts w:ascii="宋体" w:hAnsi="宋体"/>
                <w:sz w:val="24"/>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bl>
    <w:p>
      <w:pPr>
        <w:spacing w:line="280" w:lineRule="exact"/>
        <w:rPr>
          <w:b/>
          <w:sz w:val="28"/>
        </w:rPr>
      </w:pPr>
    </w:p>
    <w:p>
      <w:pPr>
        <w:numPr>
          <w:ilvl w:val="0"/>
          <w:numId w:val="10"/>
        </w:numPr>
        <w:spacing w:line="360" w:lineRule="auto"/>
        <w:ind w:hanging="357"/>
      </w:pPr>
      <w:r>
        <w:rPr>
          <w:rFonts w:hint="eastAsia"/>
        </w:rPr>
        <w:t>注意：本表中“序号”、“询比价文件要求”栏填写的内容应与询比价文件技术要求中内容完全</w:t>
      </w:r>
      <w:r>
        <w:rPr>
          <w:rFonts w:hint="eastAsia"/>
          <w:em w:val="dot"/>
        </w:rPr>
        <w:t>一致</w:t>
      </w:r>
      <w:r>
        <w:rPr>
          <w:rFonts w:hint="eastAsia"/>
        </w:rPr>
        <w:t>。</w:t>
      </w:r>
    </w:p>
    <w:p>
      <w:pPr>
        <w:numPr>
          <w:ilvl w:val="0"/>
          <w:numId w:val="10"/>
        </w:numPr>
        <w:spacing w:line="360" w:lineRule="auto"/>
        <w:ind w:hanging="357"/>
      </w:pPr>
      <w:r>
        <w:rPr>
          <w:rFonts w:hint="eastAsia"/>
        </w:rPr>
        <w:t>询比价项目参与人依据产品说明书、详细技术方案、样本等在“技术规格”栏如实逐项逐条回应。</w:t>
      </w:r>
    </w:p>
    <w:p>
      <w:pPr>
        <w:numPr>
          <w:ilvl w:val="0"/>
          <w:numId w:val="10"/>
        </w:numPr>
        <w:spacing w:line="360" w:lineRule="auto"/>
        <w:ind w:hanging="357"/>
      </w:pPr>
      <w:r>
        <w:rPr>
          <w:rFonts w:hint="eastAsia"/>
        </w:rPr>
        <w:t>询比价项目参与人</w:t>
      </w:r>
      <w:r>
        <w:t>需在本附件内，</w:t>
      </w:r>
      <w:r>
        <w:rPr>
          <w:rFonts w:hint="eastAsia"/>
        </w:rPr>
        <w:t>对于那些可以用量化形式表示的条款，投标人必须明确回答，或以功能描述回答，并在“</w:t>
      </w:r>
      <w:r>
        <w:rPr>
          <w:rFonts w:hint="eastAsia"/>
          <w:szCs w:val="21"/>
        </w:rPr>
        <w:t>响应/偏离”栏内做出应答</w:t>
      </w:r>
      <w:r>
        <w:rPr>
          <w:rFonts w:hint="eastAsia"/>
        </w:rPr>
        <w:t>。</w:t>
      </w:r>
    </w:p>
    <w:p>
      <w:pPr>
        <w:numPr>
          <w:ilvl w:val="0"/>
          <w:numId w:val="10"/>
        </w:numPr>
        <w:spacing w:line="360" w:lineRule="auto"/>
        <w:ind w:hanging="357"/>
      </w:pPr>
      <w:r>
        <w:rPr>
          <w:rFonts w:hint="eastAsia"/>
        </w:rPr>
        <w:t>任何通过简单拷贝招标文件技术规格要求或简单标注“符合”、“满足”的投标将被拒绝。</w:t>
      </w:r>
      <w:r>
        <w:rPr>
          <w:rFonts w:hint="eastAsia" w:ascii="宋体" w:hAnsi="宋体" w:cs="Arial"/>
          <w:sz w:val="24"/>
        </w:rPr>
        <w:t>特别对有具体参数要求的指标，投标人必须提供所投设备的具体数值。</w:t>
      </w:r>
    </w:p>
    <w:p>
      <w:pPr>
        <w:numPr>
          <w:ilvl w:val="0"/>
          <w:numId w:val="10"/>
        </w:numPr>
        <w:spacing w:line="360" w:lineRule="auto"/>
        <w:ind w:hanging="357"/>
      </w:pPr>
      <w:r>
        <w:rPr>
          <w:rFonts w:hint="eastAsia"/>
        </w:rPr>
        <w:t>如果询比价小组在投标文件其它地方发现实质性偏离，不论投标人在本表中如何响应，均可认为是偏离招标文件的规定</w:t>
      </w:r>
      <w:r>
        <w:t>。</w:t>
      </w:r>
    </w:p>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3"/>
      </w:pPr>
      <w:r>
        <w:rPr>
          <w:rFonts w:hint="eastAsia"/>
        </w:rPr>
        <w:t>附件9：</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密级：    公开</w:t>
      </w:r>
    </w:p>
    <w:p>
      <w:pPr>
        <w:rPr>
          <w:rFonts w:asciiTheme="minorEastAsia" w:hAnsiTheme="minorEastAsia" w:eastAsiaTheme="minorEastAsia" w:cstheme="minorEastAsia"/>
          <w:sz w:val="24"/>
          <w:szCs w:val="20"/>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黑体" w:hAnsi="黑体" w:eastAsia="黑体" w:cstheme="minorEastAsia"/>
          <w:spacing w:val="30"/>
          <w:sz w:val="52"/>
        </w:rPr>
      </w:pPr>
      <w:r>
        <w:rPr>
          <w:rFonts w:hint="eastAsia" w:ascii="黑体" w:hAnsi="黑体" w:eastAsia="黑体" w:cstheme="minorEastAsia"/>
          <w:spacing w:val="30"/>
          <w:sz w:val="52"/>
        </w:rPr>
        <w:t>中国航发航空科技股份有限公司</w:t>
      </w:r>
    </w:p>
    <w:p>
      <w:pPr>
        <w:jc w:val="center"/>
        <w:rPr>
          <w:rFonts w:ascii="黑体" w:hAnsi="黑体" w:eastAsia="黑体" w:cstheme="minorEastAsia"/>
          <w:spacing w:val="30"/>
          <w:sz w:val="52"/>
        </w:rPr>
      </w:pPr>
      <w:r>
        <w:rPr>
          <w:rFonts w:hint="eastAsia" w:ascii="黑体" w:hAnsi="黑体" w:eastAsia="黑体" w:cstheme="minorEastAsia"/>
          <w:spacing w:val="30"/>
          <w:sz w:val="52"/>
        </w:rPr>
        <w:t>项目技术研究方案申报书</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rPr>
      </w:pPr>
    </w:p>
    <w:p>
      <w:pPr>
        <w:snapToGrid w:val="0"/>
        <w:spacing w:line="480" w:lineRule="auto"/>
        <w:ind w:firstLine="1012" w:firstLineChars="315"/>
        <w:rPr>
          <w:rFonts w:eastAsia="楷体_GB2312"/>
          <w:b/>
          <w:sz w:val="32"/>
          <w:szCs w:val="32"/>
          <w:u w:val="single"/>
        </w:rPr>
      </w:pPr>
    </w:p>
    <w:p>
      <w:pPr>
        <w:snapToGrid w:val="0"/>
        <w:spacing w:line="360" w:lineRule="auto"/>
        <w:ind w:firstLine="800" w:firstLineChars="250"/>
        <w:rPr>
          <w:rFonts w:eastAsia="黑体"/>
          <w:sz w:val="32"/>
          <w:szCs w:val="32"/>
        </w:rPr>
      </w:pPr>
      <w:r>
        <w:rPr>
          <w:rFonts w:eastAsia="黑体"/>
          <w:sz w:val="32"/>
          <w:szCs w:val="32"/>
        </w:rPr>
        <w:t>项目名称：</w:t>
      </w:r>
      <w:r>
        <w:rPr>
          <w:rFonts w:hint="eastAsia" w:eastAsia="黑体"/>
          <w:sz w:val="32"/>
          <w:szCs w:val="32"/>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项目编号：</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起止时间：</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投标单位：</w:t>
      </w:r>
      <w:r>
        <w:rPr>
          <w:rFonts w:hint="eastAsia" w:eastAsia="黑体"/>
          <w:sz w:val="32"/>
          <w:szCs w:val="32"/>
          <w:u w:val="single"/>
        </w:rPr>
        <w:t xml:space="preserve">        （盖章）    </w:t>
      </w:r>
    </w:p>
    <w:p>
      <w:pPr>
        <w:snapToGrid w:val="0"/>
        <w:spacing w:line="360" w:lineRule="auto"/>
        <w:ind w:firstLine="800" w:firstLineChars="250"/>
        <w:rPr>
          <w:rFonts w:eastAsia="黑体"/>
          <w:sz w:val="32"/>
          <w:szCs w:val="32"/>
        </w:rPr>
      </w:pPr>
      <w:r>
        <w:rPr>
          <w:rFonts w:eastAsia="黑体"/>
          <w:sz w:val="32"/>
          <w:szCs w:val="32"/>
        </w:rPr>
        <w:t>项目负责人：</w:t>
      </w:r>
      <w:r>
        <w:rPr>
          <w:rFonts w:hint="eastAsia" w:eastAsia="黑体"/>
          <w:sz w:val="32"/>
          <w:szCs w:val="32"/>
          <w:u w:val="single"/>
        </w:rPr>
        <w:t xml:space="preserve">      （签字）    </w:t>
      </w:r>
    </w:p>
    <w:p>
      <w:pPr>
        <w:snapToGrid w:val="0"/>
        <w:spacing w:line="360" w:lineRule="auto"/>
        <w:ind w:firstLine="800" w:firstLineChars="250"/>
        <w:rPr>
          <w:rFonts w:eastAsia="黑体"/>
          <w:sz w:val="32"/>
          <w:szCs w:val="32"/>
        </w:rPr>
      </w:pPr>
      <w:r>
        <w:rPr>
          <w:rFonts w:eastAsia="黑体"/>
          <w:sz w:val="32"/>
          <w:szCs w:val="32"/>
        </w:rPr>
        <w:t>项目联系人：</w:t>
      </w:r>
      <w:r>
        <w:rPr>
          <w:rFonts w:hint="eastAsia" w:eastAsia="黑体"/>
          <w:sz w:val="32"/>
          <w:szCs w:val="32"/>
          <w:u w:val="single"/>
        </w:rPr>
        <w:t xml:space="preserve">                  </w:t>
      </w:r>
      <w:r>
        <w:rPr>
          <w:rFonts w:eastAsia="楷体_GB2312"/>
          <w:b/>
          <w:sz w:val="32"/>
          <w:szCs w:val="32"/>
          <w:u w:val="single" w:color="FFFFFF" w:themeColor="background1"/>
        </w:rPr>
        <w:t xml:space="preserve"> </w:t>
      </w:r>
    </w:p>
    <w:p>
      <w:pPr>
        <w:snapToGrid w:val="0"/>
        <w:spacing w:line="360" w:lineRule="auto"/>
        <w:ind w:firstLine="800" w:firstLineChars="250"/>
        <w:rPr>
          <w:rFonts w:eastAsia="黑体"/>
          <w:sz w:val="32"/>
          <w:szCs w:val="32"/>
        </w:rPr>
      </w:pPr>
      <w:r>
        <w:rPr>
          <w:rFonts w:eastAsia="黑体"/>
          <w:sz w:val="32"/>
          <w:szCs w:val="32"/>
        </w:rPr>
        <w:t>联系人电话：</w:t>
      </w:r>
      <w:r>
        <w:rPr>
          <w:rFonts w:eastAsia="楷体_GB2312"/>
          <w:b/>
          <w:sz w:val="32"/>
          <w:szCs w:val="32"/>
          <w:u w:val="single" w:color="FFFFFF" w:themeColor="background1"/>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填报日期：</w:t>
      </w:r>
      <w:r>
        <w:rPr>
          <w:rFonts w:eastAsia="黑体"/>
          <w:sz w:val="32"/>
          <w:szCs w:val="32"/>
          <w:u w:val="single"/>
        </w:rPr>
        <w:t xml:space="preserve"> </w:t>
      </w:r>
      <w:r>
        <w:rPr>
          <w:rFonts w:hint="eastAsia" w:asciiTheme="minorEastAsia" w:hAnsiTheme="minorEastAsia" w:eastAsiaTheme="minorEastAsia" w:cstheme="minorEastAsia"/>
          <w:b/>
          <w:sz w:val="32"/>
          <w:szCs w:val="32"/>
          <w:u w:val="single"/>
        </w:rPr>
        <w:t xml:space="preserve">  20XX </w:t>
      </w:r>
      <w:r>
        <w:rPr>
          <w:rFonts w:hint="eastAsia" w:asciiTheme="minorEastAsia" w:hAnsiTheme="minorEastAsia" w:eastAsiaTheme="minorEastAsia" w:cstheme="minorEastAsia"/>
          <w:sz w:val="32"/>
          <w:szCs w:val="32"/>
          <w:u w:val="single"/>
        </w:rPr>
        <w:t>年</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月</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日</w:t>
      </w:r>
    </w:p>
    <w:p>
      <w:pPr>
        <w:jc w:val="center"/>
      </w:pPr>
    </w:p>
    <w:p>
      <w:pPr>
        <w:jc w:val="center"/>
        <w:rPr>
          <w:rFonts w:eastAsia="楷体_GB2312"/>
          <w:b/>
          <w:sz w:val="36"/>
          <w:szCs w:val="36"/>
        </w:rPr>
      </w:pPr>
    </w:p>
    <w:p>
      <w:pPr>
        <w:rPr>
          <w:rFonts w:eastAsia="楷体_GB2312"/>
          <w:b/>
          <w:sz w:val="36"/>
          <w:szCs w:val="36"/>
        </w:rPr>
      </w:pPr>
    </w:p>
    <w:p>
      <w:pPr>
        <w:jc w:val="center"/>
        <w:rPr>
          <w:rFonts w:eastAsia="黑体"/>
          <w:sz w:val="36"/>
          <w:szCs w:val="36"/>
        </w:rPr>
        <w:sectPr>
          <w:pgSz w:w="11906" w:h="16838"/>
          <w:pgMar w:top="1418" w:right="1134" w:bottom="1134" w:left="1418" w:header="851" w:footer="992" w:gutter="0"/>
          <w:cols w:space="425" w:num="1"/>
          <w:docGrid w:type="lines" w:linePitch="312" w:charSpace="0"/>
        </w:sectPr>
      </w:pPr>
      <w:r>
        <w:rPr>
          <w:rFonts w:hint="eastAsia" w:eastAsia="黑体"/>
          <w:sz w:val="36"/>
          <w:szCs w:val="36"/>
        </w:rPr>
        <w:t>中国航发航空科技股份有限公司</w:t>
      </w:r>
      <w:r>
        <w:rPr>
          <w:rFonts w:eastAsia="黑体"/>
          <w:sz w:val="36"/>
          <w:szCs w:val="36"/>
        </w:rPr>
        <w:t>制</w:t>
      </w:r>
    </w:p>
    <w:p>
      <w:pPr>
        <w:jc w:val="center"/>
        <w:rPr>
          <w:rFonts w:eastAsia="黑体"/>
          <w:sz w:val="32"/>
          <w:szCs w:val="32"/>
        </w:rPr>
      </w:pPr>
      <w:r>
        <w:rPr>
          <w:rFonts w:eastAsia="黑体"/>
          <w:sz w:val="32"/>
          <w:szCs w:val="32"/>
        </w:rPr>
        <w:t>填  写  说  明</w:t>
      </w:r>
    </w:p>
    <w:p>
      <w:pPr>
        <w:snapToGrid w:val="0"/>
        <w:spacing w:line="360" w:lineRule="auto"/>
        <w:ind w:right="571"/>
        <w:rPr>
          <w:b/>
          <w:sz w:val="24"/>
        </w:rPr>
      </w:pPr>
    </w:p>
    <w:p>
      <w:pPr>
        <w:snapToGrid w:val="0"/>
        <w:spacing w:line="360" w:lineRule="auto"/>
        <w:rPr>
          <w:rFonts w:eastAsia="仿宋_GB2312"/>
          <w:b/>
          <w:sz w:val="30"/>
          <w:szCs w:val="30"/>
        </w:rPr>
      </w:pPr>
      <w:r>
        <w:rPr>
          <w:rFonts w:eastAsia="仿宋_GB2312"/>
          <w:b/>
          <w:sz w:val="30"/>
          <w:szCs w:val="30"/>
        </w:rPr>
        <w:t>一、填写要求</w:t>
      </w:r>
    </w:p>
    <w:p>
      <w:pPr>
        <w:snapToGrid w:val="0"/>
        <w:spacing w:line="360" w:lineRule="auto"/>
        <w:ind w:firstLine="480" w:firstLineChars="200"/>
        <w:rPr>
          <w:rFonts w:eastAsia="仿宋_GB2312"/>
          <w:sz w:val="24"/>
        </w:rPr>
      </w:pPr>
      <w:r>
        <w:rPr>
          <w:rFonts w:eastAsia="仿宋_GB2312"/>
          <w:sz w:val="24"/>
        </w:rPr>
        <w:t>任务书（规格A4）填写需一式2份，可以复印，但每份需加盖公章。各项内容必须如实填写，各项栏目不得空缺，无此内容时填“无”，数字一律取整数，承研单位名称填写标准简称和代号。</w:t>
      </w:r>
    </w:p>
    <w:p>
      <w:pPr>
        <w:snapToGrid w:val="0"/>
        <w:spacing w:line="360" w:lineRule="auto"/>
        <w:rPr>
          <w:rFonts w:eastAsia="仿宋_GB2312"/>
          <w:b/>
          <w:sz w:val="30"/>
          <w:szCs w:val="30"/>
        </w:rPr>
      </w:pPr>
      <w:r>
        <w:rPr>
          <w:rFonts w:eastAsia="仿宋_GB2312"/>
          <w:b/>
          <w:sz w:val="30"/>
          <w:szCs w:val="30"/>
        </w:rPr>
        <w:t>二、格式要求</w:t>
      </w:r>
    </w:p>
    <w:p>
      <w:pPr>
        <w:snapToGrid w:val="0"/>
        <w:spacing w:line="360" w:lineRule="auto"/>
        <w:ind w:firstLine="480" w:firstLineChars="200"/>
        <w:rPr>
          <w:rFonts w:eastAsia="仿宋_GB2312"/>
          <w:sz w:val="24"/>
        </w:rPr>
      </w:pPr>
      <w:r>
        <w:rPr>
          <w:rFonts w:eastAsia="仿宋_GB2312"/>
          <w:sz w:val="24"/>
        </w:rPr>
        <w:t>页边距：上2.5cm，下2cm；左2.5cm，右2cm，页脚1.2cm，封面、简表、目录不设页码，正文页码从第一页开始，置于页脚居中。</w:t>
      </w:r>
    </w:p>
    <w:p>
      <w:pPr>
        <w:snapToGrid w:val="0"/>
        <w:spacing w:line="360" w:lineRule="auto"/>
        <w:ind w:firstLine="480" w:firstLineChars="200"/>
        <w:rPr>
          <w:rFonts w:eastAsia="仿宋_GB2312"/>
          <w:sz w:val="24"/>
        </w:rPr>
      </w:pPr>
      <w:r>
        <w:rPr>
          <w:rFonts w:eastAsia="仿宋_GB2312"/>
          <w:sz w:val="24"/>
        </w:rPr>
        <w:t>标题一使用</w:t>
      </w:r>
      <w:r>
        <w:rPr>
          <w:rFonts w:eastAsia="黑体"/>
          <w:sz w:val="28"/>
          <w:szCs w:val="28"/>
        </w:rPr>
        <w:t>黑体，四号字</w:t>
      </w:r>
      <w:r>
        <w:rPr>
          <w:rFonts w:eastAsia="仿宋_GB2312"/>
          <w:sz w:val="24"/>
        </w:rPr>
        <w:t>，行间距1.25倍，段前、段后空一行。</w:t>
      </w:r>
    </w:p>
    <w:p>
      <w:pPr>
        <w:snapToGrid w:val="0"/>
        <w:spacing w:line="360" w:lineRule="auto"/>
        <w:ind w:firstLine="480" w:firstLineChars="200"/>
        <w:rPr>
          <w:rFonts w:eastAsia="仿宋_GB2312"/>
          <w:sz w:val="24"/>
        </w:rPr>
      </w:pPr>
      <w:r>
        <w:rPr>
          <w:rFonts w:eastAsia="仿宋_GB2312"/>
          <w:sz w:val="24"/>
        </w:rPr>
        <w:t>标题二使用</w:t>
      </w:r>
      <w:r>
        <w:rPr>
          <w:rFonts w:eastAsia="黑体"/>
          <w:sz w:val="24"/>
        </w:rPr>
        <w:t>黑体，小四号字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正文：中文用宋体；数字、符号用Times New Roman，小四号字，行间距1.25倍，段前、段后不空。</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snapToGrid w:val="0"/>
        <w:spacing w:line="360" w:lineRule="auto"/>
        <w:jc w:val="center"/>
        <w:rPr>
          <w:rFonts w:eastAsia="黑体"/>
          <w:sz w:val="28"/>
          <w:szCs w:val="28"/>
        </w:rPr>
      </w:pPr>
      <w:r>
        <w:rPr>
          <w:rFonts w:eastAsia="黑体"/>
          <w:sz w:val="28"/>
          <w:szCs w:val="28"/>
        </w:rPr>
        <w:t>目  录</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项目概述</w:t>
      </w:r>
      <w:r>
        <w:rPr>
          <w:rFonts w:hint="eastAsia" w:ascii="宋体"/>
          <w:b/>
          <w:kern w:val="0"/>
          <w:sz w:val="28"/>
        </w:rPr>
        <w:tab/>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项目（课题）原理</w:t>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项目技术国内外研究现状</w:t>
      </w:r>
    </w:p>
    <w:p>
      <w:pPr>
        <w:pStyle w:val="74"/>
        <w:numPr>
          <w:ilvl w:val="0"/>
          <w:numId w:val="12"/>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项目（课题）预期拟解决的重大关键核心技术或重大问题</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研究目标</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研究内容</w:t>
      </w:r>
      <w:r>
        <w:rPr>
          <w:rFonts w:hint="eastAsia" w:ascii="宋体"/>
          <w:b/>
          <w:kern w:val="0"/>
          <w:sz w:val="28"/>
        </w:rPr>
        <w:tab/>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研究方案及技术途径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总体方案</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研究方法及技术途径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关键技术及实施途径</w:t>
      </w:r>
      <w:r>
        <w:rPr>
          <w:rFonts w:hint="eastAsia" w:ascii="宋体"/>
          <w:b/>
          <w:kern w:val="0"/>
          <w:sz w:val="28"/>
        </w:rPr>
        <w:tab/>
      </w:r>
    </w:p>
    <w:p>
      <w:pPr>
        <w:pStyle w:val="74"/>
        <w:numPr>
          <w:ilvl w:val="0"/>
          <w:numId w:val="13"/>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技术创新点</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技术指标及考核方式</w:t>
      </w:r>
      <w:r>
        <w:rPr>
          <w:rFonts w:hint="eastAsia" w:ascii="宋体"/>
          <w:b/>
          <w:kern w:val="0"/>
          <w:sz w:val="28"/>
        </w:rPr>
        <w:tab/>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技术指标量化可考核，能够体现项目技术特征。</w:t>
      </w:r>
      <w:r>
        <w:rPr>
          <w:rFonts w:asciiTheme="minorEastAsia" w:hAnsiTheme="minorEastAsia"/>
          <w:i/>
          <w:sz w:val="24"/>
        </w:rPr>
        <w:t>所有</w:t>
      </w:r>
      <w:r>
        <w:rPr>
          <w:rFonts w:hint="eastAsia" w:asciiTheme="minorEastAsia" w:hAnsiTheme="minorEastAsia"/>
          <w:i/>
          <w:sz w:val="24"/>
        </w:rPr>
        <w:t>技术指标均应说明指标名称、指标要求及考核方式。</w:t>
      </w:r>
    </w:p>
    <w:p>
      <w:pPr>
        <w:pStyle w:val="9"/>
        <w:adjustRightInd w:val="0"/>
        <w:snapToGrid w:val="0"/>
        <w:spacing w:line="300" w:lineRule="auto"/>
        <w:ind w:firstLine="0" w:firstLineChars="0"/>
        <w:rPr>
          <w:rFonts w:asciiTheme="minorEastAsia" w:hAnsiTheme="minorEastAsia"/>
          <w:i/>
          <w:sz w:val="24"/>
        </w:rPr>
      </w:pPr>
      <w:r>
        <w:rPr>
          <w:rFonts w:asciiTheme="minorEastAsia" w:hAnsiTheme="minorEastAsia"/>
          <w:i/>
          <w:sz w:val="24"/>
        </w:rPr>
        <w:t>1.×××××××××</w:t>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2</w:t>
      </w:r>
      <w:r>
        <w:rPr>
          <w:rFonts w:asciiTheme="minorEastAsia" w:hAnsiTheme="minorEastAsia"/>
          <w:i/>
          <w:sz w:val="24"/>
        </w:rPr>
        <w:t>.×××××××××</w:t>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9"/>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9"/>
        <w:adjustRightInd w:val="0"/>
        <w:snapToGrid w:val="0"/>
        <w:spacing w:line="300" w:lineRule="auto"/>
        <w:ind w:firstLineChars="0"/>
        <w:rPr>
          <w:rFonts w:ascii="仿宋" w:hAnsi="仿宋" w:eastAsia="仿宋"/>
          <w:sz w:val="24"/>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研究进度及成果</w:t>
      </w:r>
      <w:r>
        <w:rPr>
          <w:rFonts w:hint="eastAsia" w:ascii="宋体"/>
          <w:b/>
          <w:kern w:val="0"/>
          <w:sz w:val="28"/>
        </w:rPr>
        <w:tab/>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研究进度</w:t>
      </w:r>
      <w:r>
        <w:rPr>
          <w:rFonts w:hint="eastAsia" w:ascii="宋体"/>
          <w:b/>
          <w:kern w:val="0"/>
          <w:sz w:val="28"/>
        </w:rPr>
        <w:tab/>
      </w:r>
    </w:p>
    <w:p>
      <w:pPr>
        <w:spacing w:before="156" w:beforeLines="50" w:after="156" w:afterLines="50"/>
        <w:jc w:val="center"/>
        <w:outlineLvl w:val="0"/>
        <w:rPr>
          <w:rFonts w:eastAsia="黑体"/>
          <w:sz w:val="24"/>
        </w:rPr>
      </w:pPr>
      <w:bookmarkStart w:id="20" w:name="_Toc513033384"/>
      <w:bookmarkStart w:id="21" w:name="_Toc513128901"/>
      <w:bookmarkStart w:id="22" w:name="_Toc514238612"/>
      <w:bookmarkStart w:id="23" w:name="_Toc513455546"/>
      <w:bookmarkStart w:id="24" w:name="_Toc513130108"/>
      <w:bookmarkStart w:id="25" w:name="_Toc513454606"/>
      <w:r>
        <w:rPr>
          <w:b/>
          <w:sz w:val="24"/>
        </w:rPr>
        <w:t>表X.本项目</w:t>
      </w:r>
      <w:bookmarkEnd w:id="20"/>
      <w:r>
        <w:rPr>
          <w:b/>
          <w:sz w:val="24"/>
        </w:rPr>
        <w:t>研究进度</w:t>
      </w:r>
      <w:bookmarkEnd w:id="21"/>
      <w:bookmarkEnd w:id="22"/>
      <w:bookmarkEnd w:id="23"/>
      <w:bookmarkEnd w:id="24"/>
      <w:bookmarkEnd w:id="25"/>
    </w:p>
    <w:tbl>
      <w:tblPr>
        <w:tblStyle w:val="28"/>
        <w:tblW w:w="7897" w:type="dxa"/>
        <w:jc w:val="center"/>
        <w:tblLayout w:type="autofit"/>
        <w:tblCellMar>
          <w:top w:w="0" w:type="dxa"/>
          <w:left w:w="108" w:type="dxa"/>
          <w:bottom w:w="0" w:type="dxa"/>
          <w:right w:w="108" w:type="dxa"/>
        </w:tblCellMar>
      </w:tblPr>
      <w:tblGrid>
        <w:gridCol w:w="1086"/>
        <w:gridCol w:w="4282"/>
        <w:gridCol w:w="2529"/>
      </w:tblGrid>
      <w:tr>
        <w:tblPrEx>
          <w:tblCellMar>
            <w:top w:w="0" w:type="dxa"/>
            <w:left w:w="108" w:type="dxa"/>
            <w:bottom w:w="0" w:type="dxa"/>
            <w:right w:w="108" w:type="dxa"/>
          </w:tblCellMar>
        </w:tblPrEx>
        <w:trPr>
          <w:trHeight w:val="285" w:hRule="atLeast"/>
          <w:jc w:val="center"/>
        </w:trPr>
        <w:tc>
          <w:tcPr>
            <w:tcW w:w="1086"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ind w:left="1" w:leftChars="-35" w:right="-77" w:rightChars="-37" w:hanging="74" w:hangingChars="31"/>
              <w:jc w:val="center"/>
              <w:rPr>
                <w:b/>
                <w:kern w:val="0"/>
                <w:sz w:val="24"/>
              </w:rPr>
            </w:pPr>
            <w:r>
              <w:rPr>
                <w:b/>
                <w:kern w:val="0"/>
                <w:sz w:val="24"/>
              </w:rPr>
              <w:t>年度</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ind w:right="-132" w:rightChars="-63"/>
              <w:jc w:val="center"/>
              <w:rPr>
                <w:b/>
                <w:kern w:val="0"/>
                <w:sz w:val="24"/>
              </w:rPr>
            </w:pPr>
            <w:r>
              <w:rPr>
                <w:b/>
                <w:kern w:val="0"/>
                <w:sz w:val="24"/>
              </w:rPr>
              <w:t>主要研究内容</w:t>
            </w:r>
          </w:p>
        </w:tc>
        <w:tc>
          <w:tcPr>
            <w:tcW w:w="252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b/>
                <w:kern w:val="0"/>
                <w:sz w:val="24"/>
              </w:rPr>
            </w:pPr>
            <w:r>
              <w:rPr>
                <w:rFonts w:hint="eastAsia"/>
                <w:b/>
                <w:kern w:val="0"/>
                <w:sz w:val="24"/>
              </w:rPr>
              <w:t>完成形式</w:t>
            </w:r>
          </w:p>
        </w:tc>
      </w:tr>
      <w:tr>
        <w:tblPrEx>
          <w:tblCellMar>
            <w:top w:w="0" w:type="dxa"/>
            <w:left w:w="108" w:type="dxa"/>
            <w:bottom w:w="0" w:type="dxa"/>
            <w:right w:w="108" w:type="dxa"/>
          </w:tblCellMar>
        </w:tblPrEx>
        <w:trPr>
          <w:trHeight w:val="496" w:hRule="atLeas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nil"/>
              <w:left w:val="nil"/>
              <w:bottom w:val="single" w:color="auto" w:sz="4" w:space="0"/>
              <w:right w:val="single" w:color="auto" w:sz="4" w:space="0"/>
            </w:tcBorders>
            <w:shd w:val="clear" w:color="auto" w:fill="auto"/>
            <w:noWrap/>
            <w:vAlign w:val="center"/>
          </w:tcPr>
          <w:p>
            <w:pPr>
              <w:snapToGrid w:val="0"/>
              <w:jc w:val="left"/>
              <w:rPr>
                <w:i/>
                <w:kern w:val="0"/>
                <w:sz w:val="24"/>
              </w:rPr>
            </w:pPr>
            <w:r>
              <w:rPr>
                <w:rFonts w:hint="eastAsia"/>
                <w:i/>
                <w:kern w:val="0"/>
                <w:sz w:val="24"/>
              </w:rPr>
              <w:t>与1.2研究</w:t>
            </w:r>
            <w:r>
              <w:rPr>
                <w:i/>
                <w:kern w:val="0"/>
                <w:sz w:val="24"/>
              </w:rPr>
              <w:t>内容对应</w:t>
            </w:r>
          </w:p>
        </w:tc>
        <w:tc>
          <w:tcPr>
            <w:tcW w:w="2529" w:type="dxa"/>
            <w:tcBorders>
              <w:top w:val="nil"/>
              <w:left w:val="nil"/>
              <w:bottom w:val="single" w:color="auto" w:sz="4" w:space="0"/>
              <w:right w:val="single" w:color="auto" w:sz="4" w:space="0"/>
            </w:tcBorders>
            <w:shd w:val="clear" w:color="auto" w:fill="auto"/>
            <w:noWrap/>
            <w:vAlign w:val="center"/>
          </w:tcPr>
          <w:p>
            <w:pPr>
              <w:snapToGrid w:val="0"/>
              <w:rPr>
                <w:i/>
                <w:kern w:val="0"/>
                <w:sz w:val="24"/>
              </w:rPr>
            </w:pPr>
            <w:r>
              <w:rPr>
                <w:rFonts w:hint="eastAsia"/>
                <w:i/>
                <w:kern w:val="0"/>
                <w:sz w:val="24"/>
              </w:rPr>
              <w:t>成果</w:t>
            </w:r>
            <w:r>
              <w:rPr>
                <w:i/>
                <w:kern w:val="0"/>
                <w:sz w:val="24"/>
              </w:rPr>
              <w:t>形式</w:t>
            </w: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XX年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bl>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研究成果</w:t>
      </w:r>
    </w:p>
    <w:tbl>
      <w:tblPr>
        <w:tblStyle w:val="28"/>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3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序号</w:t>
            </w:r>
          </w:p>
        </w:tc>
        <w:tc>
          <w:tcPr>
            <w:tcW w:w="5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研究成果名称</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838"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58"/>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p>
        </w:tc>
        <w:tc>
          <w:tcPr>
            <w:tcW w:w="5838" w:type="dxa"/>
            <w:tcBorders>
              <w:top w:val="single" w:color="auto" w:sz="4" w:space="0"/>
              <w:left w:val="single" w:color="auto" w:sz="4" w:space="0"/>
              <w:bottom w:val="single" w:color="auto" w:sz="4" w:space="0"/>
              <w:right w:val="single" w:color="auto" w:sz="4" w:space="0"/>
            </w:tcBorders>
          </w:tcPr>
          <w:p>
            <w:pPr>
              <w:pStyle w:val="58"/>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58"/>
              <w:snapToGrid w:val="0"/>
              <w:jc w:val="center"/>
              <w:rPr>
                <w:rFonts w:cs="Times New Roman"/>
                <w:color w:val="000000" w:themeColor="text1"/>
                <w14:textFill>
                  <w14:solidFill>
                    <w14:schemeClr w14:val="tx1"/>
                  </w14:solidFill>
                </w14:textFill>
              </w:rPr>
            </w:pPr>
          </w:p>
        </w:tc>
      </w:tr>
    </w:tbl>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成果形式</w:t>
      </w:r>
      <w:r>
        <w:rPr>
          <w:rFonts w:hint="eastAsia" w:ascii="宋体"/>
          <w:b/>
          <w:kern w:val="0"/>
          <w:sz w:val="28"/>
        </w:rPr>
        <w:tab/>
      </w:r>
    </w:p>
    <w:p>
      <w:pPr>
        <w:snapToGrid w:val="0"/>
        <w:spacing w:line="300" w:lineRule="auto"/>
        <w:ind w:right="207" w:firstLine="480" w:firstLineChars="200"/>
        <w:rPr>
          <w:i/>
          <w:sz w:val="24"/>
        </w:rPr>
      </w:pPr>
      <w:r>
        <w:rPr>
          <w:i/>
          <w:sz w:val="24"/>
        </w:rPr>
        <w:t>（最终可考核的软硬件成果名称、形式、数量）</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本项目研究成果形式共划分为X类，包括文件、软件、实物、专利、论文、标准规范</w:t>
      </w:r>
      <w:r>
        <w:rPr>
          <w:rFonts w:asciiTheme="minorEastAsia" w:hAnsiTheme="minorEastAsia"/>
          <w:i/>
          <w:sz w:val="24"/>
        </w:rPr>
        <w:t>…</w:t>
      </w:r>
      <w:r>
        <w:rPr>
          <w:rFonts w:hint="eastAsia" w:asciiTheme="minorEastAsia" w:hAnsiTheme="minorEastAsia"/>
          <w:i/>
          <w:sz w:val="24"/>
        </w:rPr>
        <w:t>..等。其中，文件包括：方案报告X份，设计报告X份、试验报告X份、设计指南X份</w:t>
      </w:r>
      <w:r>
        <w:rPr>
          <w:rFonts w:asciiTheme="minorEastAsia" w:hAnsiTheme="minorEastAsia"/>
          <w:i/>
          <w:sz w:val="24"/>
        </w:rPr>
        <w:t>……</w:t>
      </w:r>
      <w:r>
        <w:rPr>
          <w:rFonts w:hint="eastAsia" w:asciiTheme="minorEastAsia" w:hAnsiTheme="minorEastAsia"/>
          <w:i/>
          <w:sz w:val="24"/>
        </w:rPr>
        <w:t>、共计X份；软件包括：数据库X套、仿真模型X套、软件代码X套</w:t>
      </w:r>
      <w:r>
        <w:rPr>
          <w:rFonts w:asciiTheme="minorEastAsia" w:hAnsiTheme="minorEastAsia"/>
          <w:i/>
          <w:sz w:val="24"/>
        </w:rPr>
        <w:t>……</w:t>
      </w:r>
      <w:r>
        <w:rPr>
          <w:rFonts w:hint="eastAsia" w:asciiTheme="minorEastAsia" w:hAnsiTheme="minorEastAsia"/>
          <w:i/>
          <w:sz w:val="24"/>
        </w:rPr>
        <w:t xml:space="preserve">，共计X套；实物包含：研究样机/样件X套、材料样品X个、工装X套，共计X套。以下仅对主要成果进行罗列： </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1.研究报告类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w:t>
      </w:r>
      <w:r>
        <w:rPr>
          <w:rFonts w:asciiTheme="minorEastAsia" w:hAnsiTheme="minorEastAsia"/>
          <w:i/>
          <w:sz w:val="24"/>
        </w:rPr>
        <w:t>…</w:t>
      </w:r>
      <w:r>
        <w:rPr>
          <w:rFonts w:hint="eastAsia" w:asciiTheme="minorEastAsia" w:hAnsiTheme="minorEastAsia"/>
          <w:i/>
          <w:sz w:val="24"/>
        </w:rPr>
        <w:t>.</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2.软件类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3.实物类</w:t>
      </w:r>
    </w:p>
    <w:p>
      <w:pPr>
        <w:pStyle w:val="9"/>
        <w:adjustRightInd w:val="0"/>
        <w:snapToGrid w:val="0"/>
        <w:spacing w:line="300" w:lineRule="auto"/>
        <w:ind w:firstLine="480"/>
        <w:rPr>
          <w:rFonts w:ascii="宋体"/>
          <w:b/>
          <w:kern w:val="0"/>
          <w:sz w:val="32"/>
        </w:rPr>
      </w:pPr>
      <w:r>
        <w:rPr>
          <w:rFonts w:hint="eastAsia" w:asciiTheme="minorEastAsia" w:hAnsiTheme="minorEastAsia"/>
          <w:sz w:val="24"/>
        </w:rPr>
        <w:t>…</w:t>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成果应用前景</w:t>
      </w:r>
      <w:r>
        <w:rPr>
          <w:rFonts w:hint="eastAsia" w:ascii="宋体"/>
          <w:b/>
          <w:kern w:val="0"/>
          <w:sz w:val="28"/>
        </w:rPr>
        <w:tab/>
      </w:r>
    </w:p>
    <w:p>
      <w:pPr>
        <w:pStyle w:val="9"/>
        <w:spacing w:line="300" w:lineRule="auto"/>
        <w:ind w:firstLine="480"/>
        <w:rPr>
          <w:rFonts w:asciiTheme="minorEastAsia" w:hAnsiTheme="minorEastAsia"/>
          <w:i/>
          <w:sz w:val="24"/>
          <w:szCs w:val="24"/>
        </w:rPr>
      </w:pPr>
      <w:r>
        <w:rPr>
          <w:i/>
          <w:sz w:val="24"/>
          <w:szCs w:val="24"/>
        </w:rPr>
        <w:t>说明成果转化途径及推广应用方案</w:t>
      </w:r>
    </w:p>
    <w:p>
      <w:pPr>
        <w:autoSpaceDE w:val="0"/>
        <w:autoSpaceDN w:val="0"/>
        <w:adjustRightInd w:val="0"/>
        <w:spacing w:line="400" w:lineRule="exact"/>
        <w:rPr>
          <w:rFonts w:ascii="宋体"/>
          <w:b/>
          <w:kern w:val="0"/>
          <w:sz w:val="32"/>
        </w:rPr>
      </w:pP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预期效益</w:t>
      </w:r>
      <w:r>
        <w:rPr>
          <w:rFonts w:hint="eastAsia" w:ascii="宋体"/>
          <w:b/>
          <w:kern w:val="0"/>
          <w:sz w:val="28"/>
        </w:rPr>
        <w:tab/>
      </w:r>
    </w:p>
    <w:p>
      <w:pPr>
        <w:pStyle w:val="9"/>
        <w:spacing w:line="300" w:lineRule="auto"/>
        <w:ind w:firstLine="480"/>
        <w:rPr>
          <w:rFonts w:asciiTheme="minorEastAsia" w:hAnsiTheme="minorEastAsia"/>
          <w:i/>
          <w:sz w:val="24"/>
          <w:szCs w:val="24"/>
        </w:rPr>
      </w:pPr>
      <w:r>
        <w:rPr>
          <w:i/>
          <w:sz w:val="24"/>
          <w:szCs w:val="24"/>
        </w:rPr>
        <w:t>分析成果的经济效益、技术效益和社会效益</w:t>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研究条件及保障措施</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研究条件</w:t>
      </w:r>
      <w:r>
        <w:rPr>
          <w:rFonts w:hint="eastAsia" w:ascii="宋体"/>
          <w:b/>
          <w:kern w:val="0"/>
          <w:sz w:val="28"/>
        </w:rPr>
        <w:tab/>
      </w:r>
    </w:p>
    <w:p>
      <w:pPr>
        <w:pStyle w:val="9"/>
        <w:spacing w:line="300" w:lineRule="auto"/>
        <w:ind w:firstLine="480"/>
        <w:rPr>
          <w:i/>
          <w:sz w:val="24"/>
          <w:szCs w:val="24"/>
        </w:rPr>
      </w:pPr>
      <w:r>
        <w:rPr>
          <w:rFonts w:hint="eastAsia"/>
          <w:i/>
          <w:sz w:val="24"/>
          <w:szCs w:val="24"/>
        </w:rPr>
        <w:t>研究基础和试验条件</w:t>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主要研究人员</w:t>
      </w:r>
      <w:r>
        <w:rPr>
          <w:rFonts w:hint="eastAsia" w:ascii="宋体"/>
          <w:b/>
          <w:kern w:val="0"/>
          <w:sz w:val="28"/>
        </w:rPr>
        <w:tab/>
      </w:r>
    </w:p>
    <w:p>
      <w:pPr>
        <w:pStyle w:val="9"/>
        <w:spacing w:line="300" w:lineRule="auto"/>
        <w:ind w:firstLine="480"/>
        <w:rPr>
          <w:rFonts w:asciiTheme="minorEastAsia" w:hAnsiTheme="minorEastAsia"/>
          <w:i/>
          <w:sz w:val="24"/>
          <w:szCs w:val="24"/>
        </w:rPr>
      </w:pPr>
      <w:bookmarkStart w:id="26" w:name="_Toc513454613"/>
      <w:bookmarkStart w:id="27" w:name="_Toc513455553"/>
      <w:bookmarkStart w:id="28" w:name="_Toc514238619"/>
      <w:r>
        <w:rPr>
          <w:i/>
          <w:sz w:val="24"/>
          <w:szCs w:val="24"/>
        </w:rPr>
        <w:t>要有项目负责人简介，第一行填写项目负责人，填写骨干研究人员，不包括外协单位人员</w:t>
      </w:r>
    </w:p>
    <w:p>
      <w:pPr>
        <w:pStyle w:val="9"/>
        <w:spacing w:line="300" w:lineRule="auto"/>
        <w:ind w:firstLine="480"/>
        <w:rPr>
          <w:rFonts w:asciiTheme="minorEastAsia" w:hAnsiTheme="minorEastAsia"/>
          <w:sz w:val="24"/>
          <w:szCs w:val="24"/>
        </w:rPr>
      </w:pPr>
    </w:p>
    <w:p>
      <w:pPr>
        <w:spacing w:before="156" w:beforeLines="50" w:after="156" w:afterLines="50"/>
        <w:jc w:val="center"/>
        <w:outlineLvl w:val="0"/>
        <w:rPr>
          <w:b/>
          <w:sz w:val="24"/>
        </w:rPr>
      </w:pPr>
      <w:r>
        <w:rPr>
          <w:b/>
          <w:sz w:val="24"/>
        </w:rPr>
        <w:t>表X  主要研究人员概况表</w:t>
      </w:r>
      <w:bookmarkEnd w:id="26"/>
      <w:bookmarkEnd w:id="27"/>
      <w:bookmarkEnd w:id="28"/>
    </w:p>
    <w:tbl>
      <w:tblPr>
        <w:tblStyle w:val="28"/>
        <w:tblW w:w="888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417"/>
        <w:gridCol w:w="1286"/>
        <w:gridCol w:w="1302"/>
        <w:gridCol w:w="142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单位</w:t>
            </w:r>
          </w:p>
        </w:tc>
        <w:tc>
          <w:tcPr>
            <w:tcW w:w="1286" w:type="dxa"/>
            <w:tcBorders>
              <w:top w:val="single" w:color="auto" w:sz="4" w:space="0"/>
              <w:left w:val="single" w:color="auto" w:sz="4" w:space="0"/>
              <w:bottom w:val="single" w:color="auto" w:sz="4" w:space="0"/>
              <w:right w:val="single" w:color="auto" w:sz="4" w:space="0"/>
            </w:tcBorders>
          </w:tcPr>
          <w:p>
            <w:pPr>
              <w:spacing w:before="120" w:after="120"/>
              <w:jc w:val="center"/>
              <w:rPr>
                <w:b/>
                <w:sz w:val="24"/>
              </w:rPr>
            </w:pPr>
            <w:r>
              <w:rPr>
                <w:rFonts w:hint="eastAsia"/>
                <w:b/>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职称/职务</w:t>
            </w:r>
          </w:p>
        </w:tc>
        <w:tc>
          <w:tcPr>
            <w:tcW w:w="142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专业</w:t>
            </w:r>
          </w:p>
        </w:tc>
        <w:tc>
          <w:tcPr>
            <w:tcW w:w="15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1</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i/>
                <w:sz w:val="24"/>
              </w:rPr>
            </w:pPr>
            <w:r>
              <w:rPr>
                <w:rFonts w:eastAsia="仿宋_GB2312"/>
                <w:bCs/>
                <w:i/>
                <w:sz w:val="24"/>
              </w:rPr>
              <w:t>负责人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2</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r>
              <w:rPr>
                <w:rFonts w:eastAsia="仿宋_GB2312"/>
                <w:bCs/>
                <w:sz w:val="24"/>
              </w:rPr>
              <w:t>3</w:t>
            </w:r>
          </w:p>
        </w:tc>
        <w:tc>
          <w:tcPr>
            <w:tcW w:w="11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r>
    </w:tbl>
    <w:p>
      <w:pPr>
        <w:autoSpaceDE w:val="0"/>
        <w:autoSpaceDN w:val="0"/>
        <w:adjustRightInd w:val="0"/>
        <w:spacing w:line="400" w:lineRule="exact"/>
        <w:rPr>
          <w:rFonts w:ascii="宋体"/>
          <w:b/>
          <w:kern w:val="0"/>
          <w:sz w:val="32"/>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组织管理措施</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项目组织方式</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bookmarkStart w:id="29" w:name="_Toc514238626"/>
      <w:bookmarkStart w:id="30" w:name="_Toc508981745"/>
      <w:r>
        <w:rPr>
          <w:rFonts w:ascii="宋体"/>
          <w:b/>
          <w:kern w:val="0"/>
          <w:sz w:val="28"/>
        </w:rPr>
        <w:t>项目组织方式</w:t>
      </w:r>
      <w:bookmarkEnd w:id="29"/>
      <w:bookmarkEnd w:id="30"/>
    </w:p>
    <w:p>
      <w:pPr>
        <w:pStyle w:val="9"/>
        <w:spacing w:line="300" w:lineRule="auto"/>
        <w:ind w:firstLine="480"/>
        <w:rPr>
          <w:rFonts w:asciiTheme="minorEastAsia" w:hAnsiTheme="minorEastAsia"/>
          <w:sz w:val="24"/>
          <w:szCs w:val="24"/>
        </w:rPr>
      </w:pPr>
      <w:bookmarkStart w:id="31" w:name="_Toc514238627"/>
      <w:bookmarkStart w:id="32" w:name="_Toc508981746"/>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ascii="宋体"/>
          <w:b/>
          <w:kern w:val="0"/>
          <w:sz w:val="28"/>
        </w:rPr>
        <w:t>主要管理措施</w:t>
      </w:r>
      <w:bookmarkEnd w:id="31"/>
      <w:bookmarkEnd w:id="32"/>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主要管理措施</w:t>
      </w:r>
      <w:r>
        <w:rPr>
          <w:rFonts w:hint="eastAsia" w:ascii="宋体"/>
          <w:b/>
          <w:kern w:val="0"/>
          <w:sz w:val="28"/>
        </w:rPr>
        <w:tab/>
      </w:r>
    </w:p>
    <w:p>
      <w:pPr>
        <w:pStyle w:val="74"/>
        <w:numPr>
          <w:ilvl w:val="0"/>
          <w:numId w:val="11"/>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风险分析</w:t>
      </w:r>
      <w:r>
        <w:rPr>
          <w:rFonts w:hint="eastAsia" w:ascii="宋体"/>
          <w:b/>
          <w:kern w:val="0"/>
          <w:sz w:val="28"/>
        </w:rPr>
        <w:tab/>
      </w:r>
    </w:p>
    <w:p>
      <w:pPr>
        <w:spacing w:line="360" w:lineRule="atLeast"/>
        <w:rPr>
          <w:sz w:val="24"/>
        </w:rPr>
      </w:pPr>
    </w:p>
    <w:p>
      <w:pPr>
        <w:pStyle w:val="9"/>
        <w:spacing w:line="300" w:lineRule="auto"/>
        <w:ind w:firstLine="480"/>
        <w:rPr>
          <w:rFonts w:asciiTheme="minorEastAsia" w:hAnsiTheme="minorEastAsia"/>
          <w:i/>
          <w:sz w:val="24"/>
          <w:szCs w:val="24"/>
        </w:rPr>
      </w:pPr>
      <w:r>
        <w:rPr>
          <w:rFonts w:hint="eastAsia" w:asciiTheme="minorEastAsia" w:hAnsiTheme="minorEastAsia"/>
          <w:i/>
          <w:sz w:val="24"/>
          <w:szCs w:val="24"/>
        </w:rPr>
        <w:t>从技术风险、管理风险分析，提出规避措施</w:t>
      </w: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sectPr>
          <w:footerReference r:id="rId35" w:type="default"/>
          <w:footerReference r:id="rId36" w:type="even"/>
          <w:pgSz w:w="11906" w:h="16838"/>
          <w:pgMar w:top="720" w:right="720" w:bottom="720" w:left="720" w:header="851" w:footer="992" w:gutter="0"/>
          <w:pgNumType w:start="1"/>
          <w:cols w:space="720" w:num="1"/>
          <w:titlePg/>
          <w:docGrid w:type="linesAndChars" w:linePitch="312" w:charSpace="0"/>
        </w:sectPr>
      </w:pPr>
    </w:p>
    <w:p>
      <w:pPr>
        <w:pStyle w:val="3"/>
      </w:pPr>
      <w:r>
        <w:rPr>
          <w:rFonts w:hint="eastAsia"/>
        </w:rPr>
        <w:t>附件10：</w:t>
      </w:r>
    </w:p>
    <w:p>
      <w:pPr>
        <w:spacing w:line="400" w:lineRule="exact"/>
        <w:ind w:firstLine="600" w:firstLineChars="200"/>
        <w:jc w:val="center"/>
        <w:rPr>
          <w:b/>
          <w:spacing w:val="10"/>
          <w:sz w:val="28"/>
          <w:szCs w:val="28"/>
        </w:rPr>
      </w:pPr>
      <w:r>
        <w:rPr>
          <w:rFonts w:hint="eastAsia"/>
          <w:b/>
          <w:spacing w:val="10"/>
          <w:sz w:val="28"/>
          <w:szCs w:val="28"/>
        </w:rPr>
        <w:t>询比价项目参与人的资格证明文件（格式）</w:t>
      </w:r>
    </w:p>
    <w:p>
      <w:pPr>
        <w:spacing w:line="400" w:lineRule="exact"/>
        <w:rPr>
          <w:spacing w:val="10"/>
          <w:sz w:val="24"/>
        </w:rPr>
      </w:pPr>
    </w:p>
    <w:p>
      <w:pPr>
        <w:numPr>
          <w:ilvl w:val="0"/>
          <w:numId w:val="17"/>
        </w:numPr>
        <w:spacing w:line="360" w:lineRule="auto"/>
        <w:rPr>
          <w:spacing w:val="10"/>
          <w:sz w:val="24"/>
        </w:rPr>
      </w:pPr>
      <w:r>
        <w:rPr>
          <w:rFonts w:hint="eastAsia"/>
          <w:spacing w:val="10"/>
          <w:sz w:val="24"/>
        </w:rPr>
        <w:t>附件10-1</w:t>
      </w:r>
      <w:r>
        <w:rPr>
          <w:rFonts w:ascii="宋体" w:hAnsi="宋体"/>
          <w:sz w:val="24"/>
        </w:rPr>
        <w:t>法定代表人</w:t>
      </w:r>
      <w:r>
        <w:rPr>
          <w:rFonts w:hint="eastAsia"/>
          <w:spacing w:val="10"/>
          <w:sz w:val="24"/>
        </w:rPr>
        <w:t>授权证书；</w:t>
      </w:r>
    </w:p>
    <w:p>
      <w:pPr>
        <w:numPr>
          <w:ilvl w:val="0"/>
          <w:numId w:val="17"/>
        </w:numPr>
        <w:spacing w:line="360" w:lineRule="auto"/>
        <w:rPr>
          <w:spacing w:val="10"/>
          <w:sz w:val="24"/>
        </w:rPr>
      </w:pPr>
      <w:r>
        <w:rPr>
          <w:rFonts w:hint="eastAsia"/>
          <w:spacing w:val="10"/>
          <w:sz w:val="24"/>
        </w:rPr>
        <w:t>附件10-2制造商资格声明；</w:t>
      </w:r>
    </w:p>
    <w:p>
      <w:pPr>
        <w:numPr>
          <w:ilvl w:val="0"/>
          <w:numId w:val="17"/>
        </w:numPr>
        <w:spacing w:line="360" w:lineRule="auto"/>
        <w:rPr>
          <w:spacing w:val="10"/>
          <w:sz w:val="24"/>
        </w:rPr>
      </w:pPr>
      <w:r>
        <w:rPr>
          <w:rFonts w:hint="eastAsia"/>
          <w:spacing w:val="10"/>
          <w:sz w:val="24"/>
        </w:rPr>
        <w:t>其他说明</w:t>
      </w:r>
    </w:p>
    <w:p>
      <w:pPr>
        <w:spacing w:line="360" w:lineRule="auto"/>
        <w:ind w:firstLine="260" w:firstLineChars="100"/>
        <w:rPr>
          <w:spacing w:val="10"/>
          <w:sz w:val="24"/>
        </w:rPr>
      </w:pPr>
      <w:r>
        <w:rPr>
          <w:rFonts w:hint="eastAsia"/>
          <w:spacing w:val="10"/>
          <w:sz w:val="24"/>
        </w:rPr>
        <w:t>3.1投标方询比价时，应填写和提交10-1至10-2的资料；</w:t>
      </w:r>
    </w:p>
    <w:p>
      <w:pPr>
        <w:spacing w:line="360" w:lineRule="auto"/>
        <w:ind w:firstLine="260" w:firstLineChars="100"/>
        <w:rPr>
          <w:spacing w:val="10"/>
          <w:sz w:val="24"/>
        </w:rPr>
      </w:pPr>
      <w:r>
        <w:rPr>
          <w:rFonts w:hint="eastAsia"/>
          <w:spacing w:val="10"/>
          <w:sz w:val="24"/>
        </w:rPr>
        <w:t>3.2对所附表格中要求的资料和询问应做出肯定的回答；</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3资格文件的签字人应保证他所作的声明及对一切问题的回答的真实性和准确性；</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4询比价项目参与人提供的资料文件将由招标方及招标方使用，并据此进行评价和判断，确定询比价项目参与人的资格和履约能力；</w:t>
      </w:r>
    </w:p>
    <w:p>
      <w:pPr>
        <w:spacing w:line="360" w:lineRule="auto"/>
        <w:ind w:firstLine="260" w:firstLineChars="100"/>
        <w:rPr>
          <w:spacing w:val="10"/>
          <w:sz w:val="24"/>
        </w:rPr>
      </w:pPr>
      <w:r>
        <w:rPr>
          <w:rFonts w:hint="eastAsia"/>
          <w:spacing w:val="10"/>
          <w:sz w:val="24"/>
        </w:rPr>
        <w:t>3.5询比价项目参与人提交的文件将给予保密，但不退还；</w:t>
      </w:r>
    </w:p>
    <w:p>
      <w:pPr>
        <w:spacing w:line="360" w:lineRule="auto"/>
        <w:ind w:firstLine="260" w:firstLineChars="100"/>
        <w:rPr>
          <w:spacing w:val="10"/>
          <w:sz w:val="24"/>
        </w:rPr>
      </w:pPr>
      <w:r>
        <w:rPr>
          <w:rFonts w:hint="eastAsia"/>
          <w:spacing w:val="10"/>
          <w:sz w:val="24"/>
        </w:rPr>
        <w:t>3.6全部文件应以中文书写，正本一份，副本三份，分别汇装入投标文件正本、副本中。</w:t>
      </w:r>
    </w:p>
    <w:p>
      <w:pPr>
        <w:widowControl/>
        <w:jc w:val="left"/>
        <w:rPr>
          <w:spacing w:val="10"/>
          <w:sz w:val="24"/>
        </w:rPr>
      </w:pPr>
      <w:r>
        <w:rPr>
          <w:spacing w:val="10"/>
          <w:sz w:val="24"/>
        </w:rPr>
        <w:br w:type="page"/>
      </w:r>
    </w:p>
    <w:p>
      <w:pPr>
        <w:pStyle w:val="3"/>
        <w:rPr>
          <w:rFonts w:ascii="Times New Roman" w:hAnsi="Times New Roman"/>
          <w:spacing w:val="10"/>
        </w:rPr>
      </w:pPr>
      <w:r>
        <w:rPr>
          <w:rFonts w:hint="eastAsia" w:ascii="Times New Roman"/>
          <w:spacing w:val="10"/>
        </w:rPr>
        <w:t>附件</w:t>
      </w:r>
      <w:r>
        <w:rPr>
          <w:rFonts w:hint="eastAsia" w:ascii="Times New Roman" w:hAnsi="Times New Roman"/>
          <w:spacing w:val="10"/>
        </w:rPr>
        <w:t>10-1</w:t>
      </w:r>
      <w:r>
        <w:rPr>
          <w:rFonts w:hint="eastAsia" w:ascii="Times New Roman"/>
          <w:spacing w:val="10"/>
        </w:rPr>
        <w:t>：</w:t>
      </w:r>
    </w:p>
    <w:p>
      <w:pPr>
        <w:spacing w:line="400" w:lineRule="exact"/>
        <w:ind w:firstLine="600" w:firstLineChars="200"/>
        <w:jc w:val="center"/>
        <w:rPr>
          <w:b/>
          <w:spacing w:val="10"/>
          <w:sz w:val="28"/>
          <w:szCs w:val="28"/>
        </w:rPr>
      </w:pPr>
      <w:r>
        <w:rPr>
          <w:b/>
          <w:spacing w:val="10"/>
          <w:sz w:val="28"/>
          <w:szCs w:val="28"/>
        </w:rPr>
        <w:t>法定代表人</w:t>
      </w:r>
      <w:r>
        <w:rPr>
          <w:rFonts w:hint="eastAsia"/>
          <w:b/>
          <w:spacing w:val="10"/>
          <w:sz w:val="28"/>
          <w:szCs w:val="28"/>
        </w:rPr>
        <w:t>授权证书</w:t>
      </w:r>
    </w:p>
    <w:p>
      <w:pPr>
        <w:spacing w:line="400" w:lineRule="exact"/>
        <w:ind w:firstLine="600" w:firstLineChars="200"/>
        <w:jc w:val="center"/>
        <w:rPr>
          <w:b/>
          <w:spacing w:val="10"/>
          <w:sz w:val="28"/>
          <w:szCs w:val="28"/>
        </w:rPr>
      </w:pPr>
    </w:p>
    <w:p>
      <w:pPr>
        <w:spacing w:line="480" w:lineRule="auto"/>
        <w:ind w:firstLine="520" w:firstLineChars="200"/>
        <w:rPr>
          <w:spacing w:val="10"/>
          <w:sz w:val="24"/>
        </w:rPr>
      </w:pPr>
      <w:r>
        <w:rPr>
          <w:rFonts w:hint="eastAsia"/>
          <w:spacing w:val="10"/>
          <w:sz w:val="24"/>
        </w:rPr>
        <w:t>（公司名称）是根据中华人民共和国法律合法注册成立的，公司的法定地址为：（公司地址）。</w:t>
      </w:r>
    </w:p>
    <w:p>
      <w:pPr>
        <w:spacing w:line="480" w:lineRule="auto"/>
        <w:rPr>
          <w:spacing w:val="10"/>
          <w:sz w:val="24"/>
        </w:rPr>
      </w:pPr>
      <w:r>
        <w:rPr>
          <w:rFonts w:hint="eastAsia"/>
          <w:spacing w:val="10"/>
          <w:sz w:val="24"/>
        </w:rPr>
        <w:t>（公司名称）法定代表人，（法定代表人职务姓名），在此授权（被授权人单位、职务/职称、姓名），作为本公司的合法代表，在项目的询比价中（询比价编号：）签署有关文件。本授权书于年月日签字盖章生效，特此声明。</w:t>
      </w:r>
    </w:p>
    <w:p>
      <w:pPr>
        <w:spacing w:line="480" w:lineRule="auto"/>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单位名称（印刷体及盖章）</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法定代表人签字：</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授权代表（被授权人）签字：</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注：如询比价参与人为法人代表的应在本页注明，可不提供此授权书。</w:t>
      </w:r>
    </w:p>
    <w:p>
      <w:pPr>
        <w:widowControl/>
        <w:jc w:val="left"/>
        <w:rPr>
          <w:spacing w:val="10"/>
          <w:sz w:val="24"/>
        </w:rPr>
      </w:pPr>
      <w:r>
        <w:rPr>
          <w:spacing w:val="10"/>
          <w:sz w:val="24"/>
        </w:rPr>
        <w:br w:type="page"/>
      </w:r>
    </w:p>
    <w:p>
      <w:pPr>
        <w:pStyle w:val="3"/>
        <w:rPr>
          <w:rFonts w:ascii="Times New Roman"/>
          <w:spacing w:val="10"/>
        </w:rPr>
      </w:pPr>
      <w:r>
        <w:rPr>
          <w:rFonts w:hint="eastAsia" w:ascii="Times New Roman"/>
          <w:spacing w:val="10"/>
        </w:rPr>
        <w:t>附件10</w:t>
      </w:r>
      <w:r>
        <w:rPr>
          <w:rFonts w:ascii="Times New Roman"/>
          <w:spacing w:val="10"/>
        </w:rPr>
        <w:t>-2</w:t>
      </w:r>
      <w:r>
        <w:rPr>
          <w:rFonts w:hint="eastAsia" w:ascii="Times New Roman"/>
          <w:spacing w:val="10"/>
        </w:rPr>
        <w:t>：</w:t>
      </w:r>
    </w:p>
    <w:p>
      <w:pPr>
        <w:spacing w:line="400" w:lineRule="exact"/>
        <w:jc w:val="center"/>
        <w:rPr>
          <w:spacing w:val="10"/>
          <w:sz w:val="24"/>
        </w:rPr>
      </w:pPr>
      <w:r>
        <w:rPr>
          <w:rFonts w:hint="eastAsia" w:ascii="宋体" w:hAnsi="宋体"/>
          <w:sz w:val="24"/>
        </w:rPr>
        <w:t>询比价项目参与人的单位简介、经营状况</w:t>
      </w:r>
    </w:p>
    <w:p>
      <w:pPr>
        <w:numPr>
          <w:ilvl w:val="0"/>
          <w:numId w:val="18"/>
        </w:numPr>
        <w:spacing w:line="400" w:lineRule="exact"/>
        <w:rPr>
          <w:spacing w:val="10"/>
          <w:sz w:val="24"/>
        </w:rPr>
      </w:pPr>
      <w:r>
        <w:rPr>
          <w:rFonts w:hint="eastAsia"/>
          <w:spacing w:val="10"/>
          <w:sz w:val="24"/>
        </w:rPr>
        <w:t>投标方名称及概况</w:t>
      </w:r>
      <w:r>
        <w:rPr>
          <w:spacing w:val="10"/>
          <w:sz w:val="24"/>
        </w:rPr>
        <w:t>:</w:t>
      </w:r>
    </w:p>
    <w:p>
      <w:pPr>
        <w:spacing w:line="400" w:lineRule="exact"/>
        <w:ind w:firstLine="260" w:firstLineChars="100"/>
        <w:jc w:val="left"/>
        <w:rPr>
          <w:spacing w:val="10"/>
          <w:sz w:val="24"/>
          <w:u w:val="single"/>
        </w:rPr>
      </w:pPr>
      <w:r>
        <w:rPr>
          <w:spacing w:val="10"/>
          <w:sz w:val="24"/>
        </w:rPr>
        <w:t>1.1</w:t>
      </w:r>
      <w:r>
        <w:rPr>
          <w:rFonts w:hint="eastAsia"/>
          <w:spacing w:val="10"/>
          <w:sz w:val="24"/>
        </w:rPr>
        <w:t>投标方名称：</w:t>
      </w:r>
    </w:p>
    <w:p>
      <w:pPr>
        <w:spacing w:line="400" w:lineRule="exact"/>
        <w:ind w:firstLine="260" w:firstLineChars="10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pPr>
        <w:spacing w:line="400" w:lineRule="exact"/>
        <w:ind w:left="390" w:hanging="390" w:hangingChars="15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pPr>
        <w:spacing w:line="400" w:lineRule="exact"/>
        <w:ind w:firstLine="260" w:firstLineChars="100"/>
        <w:jc w:val="left"/>
        <w:rPr>
          <w:spacing w:val="10"/>
          <w:sz w:val="24"/>
        </w:rPr>
      </w:pPr>
      <w:r>
        <w:rPr>
          <w:spacing w:val="10"/>
          <w:sz w:val="24"/>
        </w:rPr>
        <w:t>1.3</w:t>
      </w:r>
      <w:r>
        <w:rPr>
          <w:rFonts w:hint="eastAsia"/>
          <w:spacing w:val="10"/>
          <w:sz w:val="24"/>
        </w:rPr>
        <w:t>成立日期或注册日期：</w:t>
      </w:r>
    </w:p>
    <w:p>
      <w:pPr>
        <w:spacing w:line="400" w:lineRule="exact"/>
        <w:ind w:firstLine="260" w:firstLineChars="100"/>
        <w:jc w:val="left"/>
        <w:rPr>
          <w:spacing w:val="10"/>
          <w:sz w:val="24"/>
          <w:u w:val="single"/>
        </w:rPr>
      </w:pPr>
      <w:r>
        <w:rPr>
          <w:spacing w:val="10"/>
          <w:sz w:val="24"/>
        </w:rPr>
        <w:t>1.4</w:t>
      </w:r>
      <w:r>
        <w:rPr>
          <w:rFonts w:hint="eastAsia"/>
          <w:spacing w:val="10"/>
          <w:sz w:val="24"/>
        </w:rPr>
        <w:t>单位性质：</w:t>
      </w:r>
    </w:p>
    <w:p>
      <w:pPr>
        <w:spacing w:line="400" w:lineRule="exact"/>
        <w:ind w:firstLine="260" w:firstLineChars="10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pPr>
        <w:spacing w:line="400" w:lineRule="exact"/>
        <w:ind w:firstLine="260" w:firstLineChars="100"/>
        <w:jc w:val="left"/>
        <w:rPr>
          <w:spacing w:val="10"/>
          <w:sz w:val="24"/>
          <w:u w:val="single"/>
        </w:rPr>
      </w:pPr>
      <w:r>
        <w:rPr>
          <w:spacing w:val="10"/>
          <w:sz w:val="24"/>
        </w:rPr>
        <w:t>1.6</w:t>
      </w:r>
      <w:r>
        <w:rPr>
          <w:rFonts w:hint="eastAsia"/>
          <w:spacing w:val="10"/>
          <w:sz w:val="24"/>
        </w:rPr>
        <w:t>注册资本：</w:t>
      </w:r>
    </w:p>
    <w:p>
      <w:pPr>
        <w:numPr>
          <w:ilvl w:val="0"/>
          <w:numId w:val="18"/>
        </w:numPr>
        <w:spacing w:line="400" w:lineRule="exact"/>
        <w:rPr>
          <w:spacing w:val="10"/>
          <w:sz w:val="24"/>
        </w:rPr>
      </w:pPr>
      <w:r>
        <w:rPr>
          <w:rFonts w:hint="eastAsia"/>
          <w:spacing w:val="10"/>
          <w:sz w:val="24"/>
        </w:rPr>
        <w:t>近三年的主营业务收入</w:t>
      </w:r>
      <w:r>
        <w:rPr>
          <w:spacing w:val="10"/>
          <w:sz w:val="24"/>
        </w:rPr>
        <w:t>:</w:t>
      </w:r>
    </w:p>
    <w:tbl>
      <w:tblPr>
        <w:tblStyle w:val="2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87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240" w:type="dxa"/>
          </w:tcPr>
          <w:p>
            <w:pPr>
              <w:spacing w:line="400" w:lineRule="exact"/>
              <w:jc w:val="center"/>
              <w:rPr>
                <w:spacing w:val="10"/>
                <w:sz w:val="24"/>
              </w:rPr>
            </w:pPr>
            <w:r>
              <w:rPr>
                <w:rFonts w:hint="eastAsia"/>
                <w:spacing w:val="10"/>
                <w:sz w:val="24"/>
              </w:rPr>
              <w:t>年度</w:t>
            </w:r>
          </w:p>
        </w:tc>
        <w:tc>
          <w:tcPr>
            <w:tcW w:w="2871" w:type="dxa"/>
          </w:tcPr>
          <w:p>
            <w:pPr>
              <w:spacing w:line="400" w:lineRule="exact"/>
              <w:jc w:val="center"/>
              <w:rPr>
                <w:spacing w:val="10"/>
                <w:sz w:val="24"/>
              </w:rPr>
            </w:pPr>
            <w:r>
              <w:rPr>
                <w:rFonts w:hint="eastAsia"/>
                <w:spacing w:val="10"/>
                <w:sz w:val="24"/>
              </w:rPr>
              <w:t>国内</w:t>
            </w:r>
          </w:p>
        </w:tc>
        <w:tc>
          <w:tcPr>
            <w:tcW w:w="2872" w:type="dxa"/>
          </w:tcPr>
          <w:p>
            <w:pPr>
              <w:spacing w:line="400" w:lineRule="exact"/>
              <w:jc w:val="center"/>
              <w:rPr>
                <w:spacing w:val="10"/>
                <w:sz w:val="24"/>
              </w:rPr>
            </w:pPr>
            <w:r>
              <w:rPr>
                <w:rFonts w:hint="eastAsia"/>
                <w:spacing w:val="10"/>
                <w:sz w:val="24"/>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bl>
    <w:p>
      <w:pPr>
        <w:numPr>
          <w:ilvl w:val="0"/>
          <w:numId w:val="18"/>
        </w:numPr>
        <w:spacing w:line="400" w:lineRule="exact"/>
        <w:rPr>
          <w:spacing w:val="10"/>
          <w:sz w:val="24"/>
        </w:rPr>
      </w:pPr>
      <w:r>
        <w:rPr>
          <w:rFonts w:hint="eastAsia"/>
          <w:spacing w:val="10"/>
          <w:sz w:val="24"/>
        </w:rPr>
        <w:t>开户银行和账户：</w:t>
      </w:r>
    </w:p>
    <w:p>
      <w:pPr>
        <w:numPr>
          <w:ilvl w:val="0"/>
          <w:numId w:val="18"/>
        </w:numPr>
        <w:spacing w:line="400" w:lineRule="exact"/>
        <w:rPr>
          <w:spacing w:val="10"/>
          <w:sz w:val="24"/>
        </w:rPr>
      </w:pPr>
      <w:r>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项目询比价参与人经注册会计师事务所审计的上一年度的财务报表，至少包括资产负债表和损益表和现金流量表（在上一年度的财务报表未进行审计前可另外增加提供再上一年的财务报表）。（高校无需提供））</w:t>
      </w:r>
    </w:p>
    <w:p>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pPr>
        <w:spacing w:line="480" w:lineRule="auto"/>
        <w:jc w:val="left"/>
        <w:rPr>
          <w:spacing w:val="10"/>
          <w:sz w:val="24"/>
        </w:rPr>
      </w:pPr>
      <w:r>
        <w:rPr>
          <w:rFonts w:hint="eastAsia"/>
          <w:spacing w:val="10"/>
          <w:sz w:val="24"/>
        </w:rPr>
        <w:t>投标方名称（盖章）：</w:t>
      </w:r>
    </w:p>
    <w:p>
      <w:pPr>
        <w:spacing w:line="480" w:lineRule="auto"/>
        <w:rPr>
          <w:spacing w:val="10"/>
          <w:sz w:val="24"/>
          <w:u w:val="single"/>
        </w:rPr>
      </w:pPr>
      <w:r>
        <w:rPr>
          <w:rFonts w:hint="eastAsia"/>
          <w:spacing w:val="10"/>
          <w:sz w:val="24"/>
        </w:rPr>
        <w:t>授权代表签字：</w:t>
      </w:r>
    </w:p>
    <w:p>
      <w:pPr>
        <w:spacing w:line="480" w:lineRule="auto"/>
        <w:rPr>
          <w:spacing w:val="10"/>
          <w:sz w:val="24"/>
        </w:rPr>
      </w:pPr>
      <w:r>
        <w:rPr>
          <w:rFonts w:hint="eastAsia"/>
          <w:spacing w:val="10"/>
          <w:sz w:val="24"/>
        </w:rPr>
        <w:t>授权代表姓名和职务（印刷体）：</w:t>
      </w:r>
    </w:p>
    <w:p>
      <w:pPr>
        <w:spacing w:line="480" w:lineRule="auto"/>
        <w:rPr>
          <w:spacing w:val="10"/>
          <w:sz w:val="24"/>
          <w:u w:val="single"/>
        </w:rPr>
      </w:pPr>
      <w:r>
        <w:rPr>
          <w:rFonts w:hint="eastAsia"/>
          <w:spacing w:val="10"/>
          <w:sz w:val="24"/>
        </w:rPr>
        <w:t>传真／电话：</w:t>
      </w:r>
    </w:p>
    <w:p>
      <w:pPr>
        <w:spacing w:line="480" w:lineRule="auto"/>
        <w:rPr>
          <w:spacing w:val="10"/>
          <w:sz w:val="24"/>
        </w:rPr>
      </w:pPr>
      <w:r>
        <w:rPr>
          <w:rFonts w:hint="eastAsia"/>
          <w:spacing w:val="10"/>
          <w:sz w:val="24"/>
        </w:rPr>
        <w:t>日期：年月日</w:t>
      </w:r>
      <w:r>
        <w:rPr>
          <w:spacing w:val="10"/>
          <w:sz w:val="24"/>
        </w:rPr>
        <w:t>.</w:t>
      </w:r>
    </w:p>
    <w:p>
      <w:pPr>
        <w:spacing w:line="480" w:lineRule="auto"/>
        <w:rPr>
          <w:spacing w:val="10"/>
          <w:sz w:val="24"/>
        </w:rPr>
      </w:pPr>
    </w:p>
    <w:p>
      <w:pPr>
        <w:pStyle w:val="3"/>
        <w:rPr>
          <w:rFonts w:ascii="Times New Roman"/>
          <w:spacing w:val="10"/>
        </w:rPr>
      </w:pPr>
      <w:r>
        <w:rPr>
          <w:rFonts w:hint="eastAsia" w:ascii="Times New Roman"/>
          <w:spacing w:val="10"/>
        </w:rPr>
        <w:t>附件11：</w:t>
      </w:r>
    </w:p>
    <w:p>
      <w:pPr>
        <w:widowControl/>
        <w:adjustRightInd w:val="0"/>
        <w:snapToGrid w:val="0"/>
        <w:spacing w:line="360" w:lineRule="auto"/>
        <w:jc w:val="left"/>
        <w:rPr>
          <w:spacing w:val="10"/>
        </w:rPr>
      </w:pPr>
      <w:r>
        <w:rPr>
          <w:rFonts w:hint="eastAsia"/>
          <w:spacing w:val="10"/>
        </w:rPr>
        <w:t>询比价项目参与人授权代表身份证复印件</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rPr>
      </w:pPr>
      <w:r>
        <w:rPr>
          <w:rFonts w:hint="eastAsia"/>
          <w:spacing w:val="10"/>
          <w:sz w:val="24"/>
        </w:rPr>
        <w:t>询比价单位盖章：单位</w:t>
      </w:r>
      <w:r>
        <w:rPr>
          <w:spacing w:val="10"/>
          <w:sz w:val="24"/>
        </w:rPr>
        <w:t>名称</w:t>
      </w:r>
    </w:p>
    <w:p>
      <w:pPr>
        <w:pStyle w:val="3"/>
        <w:rPr>
          <w:rFonts w:ascii="Times New Roman"/>
          <w:spacing w:val="10"/>
        </w:rPr>
      </w:pPr>
      <w:r>
        <w:rPr>
          <w:rFonts w:hint="eastAsia" w:ascii="Times New Roman"/>
          <w:spacing w:val="10"/>
        </w:rPr>
        <w:t>附件12：</w:t>
      </w:r>
    </w:p>
    <w:p>
      <w:pPr>
        <w:widowControl/>
        <w:adjustRightInd w:val="0"/>
        <w:snapToGrid w:val="0"/>
        <w:spacing w:line="360" w:lineRule="auto"/>
        <w:jc w:val="left"/>
        <w:rPr>
          <w:spacing w:val="10"/>
        </w:rPr>
      </w:pPr>
      <w:r>
        <w:rPr>
          <w:rFonts w:hint="eastAsia"/>
          <w:spacing w:val="10"/>
        </w:rPr>
        <w:t>加盖询比价项目参与人公章的询比价项目参与人营业执照副本复印件（盖章）。</w:t>
      </w:r>
    </w:p>
    <w:p>
      <w:pPr>
        <w:pStyle w:val="3"/>
        <w:rPr>
          <w:rFonts w:ascii="Times New Roman"/>
          <w:spacing w:val="10"/>
        </w:rPr>
      </w:pPr>
      <w:r>
        <w:rPr>
          <w:rFonts w:hint="eastAsia" w:ascii="Times New Roman"/>
          <w:spacing w:val="10"/>
        </w:rPr>
        <w:t>附件13：</w:t>
      </w:r>
    </w:p>
    <w:p>
      <w:pPr>
        <w:widowControl/>
        <w:adjustRightInd w:val="0"/>
        <w:snapToGrid w:val="0"/>
        <w:spacing w:line="360" w:lineRule="auto"/>
        <w:jc w:val="left"/>
        <w:rPr>
          <w:spacing w:val="10"/>
        </w:rPr>
      </w:pPr>
      <w:r>
        <w:rPr>
          <w:rFonts w:hint="eastAsia"/>
          <w:i/>
          <w:spacing w:val="10"/>
        </w:rPr>
        <w:t>近三年来与询比价项目及服务有关的课题或合同业绩清单表及证明材料（课题或合同验收证明</w:t>
      </w:r>
      <w:r>
        <w:rPr>
          <w:rFonts w:hint="eastAsia"/>
          <w:spacing w:val="10"/>
        </w:rPr>
        <w:t>）</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i/>
          <w:spacing w:val="10"/>
        </w:rPr>
      </w:pPr>
      <w:r>
        <w:rPr>
          <w:rFonts w:hint="eastAsia"/>
          <w:spacing w:val="10"/>
          <w:sz w:val="24"/>
        </w:rPr>
        <w:t>询比价单位盖章：单位</w:t>
      </w:r>
      <w:r>
        <w:rPr>
          <w:spacing w:val="10"/>
          <w:sz w:val="24"/>
        </w:rPr>
        <w:t>名称</w:t>
      </w:r>
    </w:p>
    <w:p>
      <w:pPr>
        <w:pStyle w:val="3"/>
        <w:rPr>
          <w:rFonts w:ascii="Times New Roman"/>
          <w:spacing w:val="10"/>
        </w:rPr>
      </w:pPr>
      <w:r>
        <w:rPr>
          <w:rFonts w:hint="eastAsia" w:ascii="Times New Roman"/>
          <w:spacing w:val="10"/>
        </w:rPr>
        <w:t>附件14：</w:t>
      </w:r>
    </w:p>
    <w:p>
      <w:pPr>
        <w:widowControl/>
        <w:adjustRightInd w:val="0"/>
        <w:snapToGrid w:val="0"/>
        <w:spacing w:line="360" w:lineRule="auto"/>
        <w:jc w:val="left"/>
        <w:rPr>
          <w:spacing w:val="10"/>
        </w:rPr>
      </w:pPr>
      <w:r>
        <w:rPr>
          <w:rFonts w:hint="eastAsia"/>
          <w:i/>
          <w:spacing w:val="10"/>
        </w:rPr>
        <w:t>售后服务情况</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pPr>
      <w:r>
        <w:rPr>
          <w:rFonts w:hint="eastAsia"/>
          <w:spacing w:val="10"/>
          <w:sz w:val="24"/>
        </w:rPr>
        <w:t>询比价单位盖章：单位</w:t>
      </w:r>
      <w:r>
        <w:rPr>
          <w:spacing w:val="10"/>
          <w:sz w:val="24"/>
        </w:rPr>
        <w:t>名称</w:t>
      </w:r>
    </w:p>
    <w:p>
      <w:pPr>
        <w:spacing w:line="400" w:lineRule="exact"/>
        <w:rPr>
          <w:spacing w:val="10"/>
          <w:sz w:val="24"/>
        </w:rPr>
      </w:pPr>
    </w:p>
    <w:p>
      <w:pPr>
        <w:pStyle w:val="3"/>
        <w:rPr>
          <w:rFonts w:ascii="Times New Roman"/>
          <w:spacing w:val="10"/>
        </w:rPr>
      </w:pPr>
      <w:r>
        <w:rPr>
          <w:rFonts w:hint="eastAsia" w:ascii="Times New Roman"/>
          <w:spacing w:val="10"/>
        </w:rPr>
        <w:t>附件15：</w:t>
      </w:r>
    </w:p>
    <w:p>
      <w:pPr>
        <w:widowControl/>
        <w:adjustRightInd w:val="0"/>
        <w:snapToGrid w:val="0"/>
        <w:spacing w:line="360" w:lineRule="auto"/>
        <w:jc w:val="left"/>
        <w:rPr>
          <w:i/>
          <w:spacing w:val="10"/>
        </w:rPr>
      </w:pPr>
      <w:r>
        <w:rPr>
          <w:rFonts w:hint="eastAsia"/>
          <w:i/>
          <w:spacing w:val="10"/>
        </w:rPr>
        <w:t>其它需要说明的情况，如果没有可不提供</w:t>
      </w:r>
    </w:p>
    <w:p>
      <w:pPr>
        <w:rPr>
          <w:i/>
          <w:spacing w:val="10"/>
        </w:rPr>
      </w:pPr>
      <w:r>
        <w:rPr>
          <w:rFonts w:hint="eastAsia"/>
          <w:i/>
          <w:spacing w:val="10"/>
        </w:rPr>
        <w:br w:type="page"/>
      </w:r>
    </w:p>
    <w:p>
      <w:pPr>
        <w:widowControl/>
        <w:adjustRightInd w:val="0"/>
        <w:snapToGrid w:val="0"/>
        <w:spacing w:line="360" w:lineRule="auto"/>
        <w:jc w:val="left"/>
        <w:rPr>
          <w:i/>
          <w:spacing w:val="10"/>
        </w:rPr>
      </w:pPr>
    </w:p>
    <w:sectPr>
      <w:headerReference r:id="rId39" w:type="first"/>
      <w:footerReference r:id="rId42" w:type="first"/>
      <w:headerReference r:id="rId37" w:type="default"/>
      <w:footerReference r:id="rId40" w:type="default"/>
      <w:headerReference r:id="rId38" w:type="even"/>
      <w:footerReference r:id="rId41" w:type="even"/>
      <w:pgSz w:w="11906" w:h="16838"/>
      <w:pgMar w:top="720" w:right="720" w:bottom="720" w:left="72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14</w:t>
    </w:r>
    <w:r>
      <w:rPr>
        <w:rStyle w:val="32"/>
      </w:rPr>
      <w:fldChar w:fldCharType="end"/>
    </w:r>
  </w:p>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27</w:t>
    </w:r>
    <w:r>
      <w:rPr>
        <w:rStyle w:val="32"/>
      </w:rPr>
      <w:fldChar w:fldCharType="end"/>
    </w:r>
  </w:p>
  <w:p>
    <w:pPr>
      <w:pStyle w:val="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28</w:t>
    </w:r>
    <w:r>
      <w:rPr>
        <w:rStyle w:val="32"/>
      </w:rPr>
      <w:fldChar w:fldCharType="end"/>
    </w:r>
  </w:p>
  <w:p>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5995" w:y="529"/>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pPr>
      <w:pStyle w:val="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41</w:t>
    </w:r>
    <w:r>
      <w:rPr>
        <w:rStyle w:val="32"/>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5</w:t>
    </w:r>
    <w:r>
      <w:rPr>
        <w:rStyle w:val="32"/>
      </w:rPr>
      <w:fldChar w:fldCharType="end"/>
    </w:r>
  </w:p>
  <w:p>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17</w:t>
    </w:r>
    <w:r>
      <w:rPr>
        <w:rStyle w:val="32"/>
      </w:rPr>
      <w:fldChar w:fldCharType="end"/>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25</w:t>
    </w:r>
    <w:r>
      <w:rPr>
        <w:rStyle w:val="32"/>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1AA"/>
    <w:multiLevelType w:val="multilevel"/>
    <w:tmpl w:val="03824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17136"/>
    <w:multiLevelType w:val="multilevel"/>
    <w:tmpl w:val="0D117136"/>
    <w:lvl w:ilvl="0" w:tentative="0">
      <w:start w:val="1"/>
      <w:numFmt w:val="decimal"/>
      <w:lvlText w:val="%1"/>
      <w:lvlJc w:val="left"/>
      <w:pPr>
        <w:tabs>
          <w:tab w:val="left" w:pos="584"/>
        </w:tabs>
        <w:ind w:left="584" w:hanging="360"/>
      </w:pPr>
      <w:rPr>
        <w:rFonts w:hint="default"/>
      </w:rPr>
    </w:lvl>
    <w:lvl w:ilvl="1" w:tentative="0">
      <w:start w:val="1"/>
      <w:numFmt w:val="lowerLetter"/>
      <w:lvlText w:val="%2)"/>
      <w:lvlJc w:val="left"/>
      <w:pPr>
        <w:tabs>
          <w:tab w:val="left" w:pos="1064"/>
        </w:tabs>
        <w:ind w:left="1064" w:hanging="420"/>
      </w:pPr>
    </w:lvl>
    <w:lvl w:ilvl="2" w:tentative="0">
      <w:start w:val="1"/>
      <w:numFmt w:val="lowerRoman"/>
      <w:lvlText w:val="%3."/>
      <w:lvlJc w:val="right"/>
      <w:pPr>
        <w:tabs>
          <w:tab w:val="left" w:pos="1484"/>
        </w:tabs>
        <w:ind w:left="1484" w:hanging="420"/>
      </w:pPr>
    </w:lvl>
    <w:lvl w:ilvl="3" w:tentative="0">
      <w:start w:val="1"/>
      <w:numFmt w:val="decimal"/>
      <w:lvlText w:val="%4."/>
      <w:lvlJc w:val="left"/>
      <w:pPr>
        <w:tabs>
          <w:tab w:val="left" w:pos="1904"/>
        </w:tabs>
        <w:ind w:left="1904" w:hanging="420"/>
      </w:pPr>
    </w:lvl>
    <w:lvl w:ilvl="4" w:tentative="0">
      <w:start w:val="1"/>
      <w:numFmt w:val="lowerLetter"/>
      <w:lvlText w:val="%5)"/>
      <w:lvlJc w:val="left"/>
      <w:pPr>
        <w:tabs>
          <w:tab w:val="left" w:pos="2324"/>
        </w:tabs>
        <w:ind w:left="2324" w:hanging="420"/>
      </w:pPr>
    </w:lvl>
    <w:lvl w:ilvl="5" w:tentative="0">
      <w:start w:val="1"/>
      <w:numFmt w:val="lowerRoman"/>
      <w:lvlText w:val="%6."/>
      <w:lvlJc w:val="right"/>
      <w:pPr>
        <w:tabs>
          <w:tab w:val="left" w:pos="2744"/>
        </w:tabs>
        <w:ind w:left="2744" w:hanging="420"/>
      </w:pPr>
    </w:lvl>
    <w:lvl w:ilvl="6" w:tentative="0">
      <w:start w:val="1"/>
      <w:numFmt w:val="decimal"/>
      <w:lvlText w:val="%7."/>
      <w:lvlJc w:val="left"/>
      <w:pPr>
        <w:tabs>
          <w:tab w:val="left" w:pos="3164"/>
        </w:tabs>
        <w:ind w:left="3164" w:hanging="420"/>
      </w:pPr>
    </w:lvl>
    <w:lvl w:ilvl="7" w:tentative="0">
      <w:start w:val="1"/>
      <w:numFmt w:val="lowerLetter"/>
      <w:lvlText w:val="%8)"/>
      <w:lvlJc w:val="left"/>
      <w:pPr>
        <w:tabs>
          <w:tab w:val="left" w:pos="3584"/>
        </w:tabs>
        <w:ind w:left="3584" w:hanging="420"/>
      </w:pPr>
    </w:lvl>
    <w:lvl w:ilvl="8" w:tentative="0">
      <w:start w:val="1"/>
      <w:numFmt w:val="lowerRoman"/>
      <w:lvlText w:val="%9."/>
      <w:lvlJc w:val="right"/>
      <w:pPr>
        <w:tabs>
          <w:tab w:val="left" w:pos="4004"/>
        </w:tabs>
        <w:ind w:left="4004" w:hanging="420"/>
      </w:pPr>
    </w:lvl>
  </w:abstractNum>
  <w:abstractNum w:abstractNumId="2">
    <w:nsid w:val="311665A9"/>
    <w:multiLevelType w:val="multilevel"/>
    <w:tmpl w:val="311665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907691"/>
    <w:multiLevelType w:val="singleLevel"/>
    <w:tmpl w:val="32907691"/>
    <w:lvl w:ilvl="0" w:tentative="0">
      <w:start w:val="1"/>
      <w:numFmt w:val="upperLetter"/>
      <w:pStyle w:val="2"/>
      <w:lvlText w:val="%1．"/>
      <w:lvlJc w:val="left"/>
      <w:pPr>
        <w:tabs>
          <w:tab w:val="left" w:pos="905"/>
        </w:tabs>
        <w:ind w:left="905" w:hanging="480"/>
      </w:pPr>
      <w:rPr>
        <w:rFonts w:hint="eastAsia"/>
      </w:rPr>
    </w:lvl>
  </w:abstractNum>
  <w:abstractNum w:abstractNumId="4">
    <w:nsid w:val="3BB97AAE"/>
    <w:multiLevelType w:val="multilevel"/>
    <w:tmpl w:val="3BB97AAE"/>
    <w:lvl w:ilvl="0" w:tentative="0">
      <w:start w:val="1"/>
      <w:numFmt w:val="decimal"/>
      <w:lvlText w:val="（%1）"/>
      <w:lvlJc w:val="left"/>
      <w:pPr>
        <w:tabs>
          <w:tab w:val="left" w:pos="1440"/>
        </w:tabs>
        <w:ind w:left="1440" w:hanging="720"/>
      </w:pPr>
      <w:rPr>
        <w:rFonts w:hint="eastAsia" w:hAnsi="Times New Roman"/>
        <w:color w:val="auto"/>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449B3EB3"/>
    <w:multiLevelType w:val="multilevel"/>
    <w:tmpl w:val="449B3EB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561687D"/>
    <w:multiLevelType w:val="multilevel"/>
    <w:tmpl w:val="4561687D"/>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95E6C59"/>
    <w:multiLevelType w:val="multilevel"/>
    <w:tmpl w:val="495E6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E551AA"/>
    <w:multiLevelType w:val="multilevel"/>
    <w:tmpl w:val="52E551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AD24E3"/>
    <w:multiLevelType w:val="multilevel"/>
    <w:tmpl w:val="55AD24E3"/>
    <w:lvl w:ilvl="0" w:tentative="0">
      <w:start w:val="1"/>
      <w:numFmt w:val="upperLetter"/>
      <w:pStyle w:val="7"/>
      <w:lvlText w:val="%1."/>
      <w:lvlJc w:val="left"/>
      <w:pPr>
        <w:tabs>
          <w:tab w:val="left" w:pos="3480"/>
        </w:tabs>
        <w:ind w:left="34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73027A5"/>
    <w:multiLevelType w:val="multilevel"/>
    <w:tmpl w:val="573027A5"/>
    <w:lvl w:ilvl="0" w:tentative="0">
      <w:start w:val="1"/>
      <w:numFmt w:val="lowerLetter"/>
      <w:lvlText w:val="%1."/>
      <w:lvlJc w:val="left"/>
      <w:pPr>
        <w:tabs>
          <w:tab w:val="left" w:pos="360"/>
        </w:tabs>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973573C"/>
    <w:multiLevelType w:val="multilevel"/>
    <w:tmpl w:val="597357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B82450"/>
    <w:multiLevelType w:val="multilevel"/>
    <w:tmpl w:val="68B824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AE64207"/>
    <w:multiLevelType w:val="multilevel"/>
    <w:tmpl w:val="6AE642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974393"/>
    <w:multiLevelType w:val="multilevel"/>
    <w:tmpl w:val="6B9743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7C2DFA"/>
    <w:multiLevelType w:val="multilevel"/>
    <w:tmpl w:val="7A7C2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680418"/>
    <w:multiLevelType w:val="singleLevel"/>
    <w:tmpl w:val="7C680418"/>
    <w:lvl w:ilvl="0" w:tentative="0">
      <w:start w:val="1"/>
      <w:numFmt w:val="decimal"/>
      <w:lvlText w:val="%1."/>
      <w:lvlJc w:val="left"/>
      <w:pPr>
        <w:ind w:left="420" w:hanging="420"/>
      </w:pPr>
    </w:lvl>
  </w:abstractNum>
  <w:abstractNum w:abstractNumId="17">
    <w:nsid w:val="7ECE7AC8"/>
    <w:multiLevelType w:val="multilevel"/>
    <w:tmpl w:val="7ECE7AC8"/>
    <w:lvl w:ilvl="0" w:tentative="0">
      <w:start w:val="1"/>
      <w:numFmt w:val="decimal"/>
      <w:pStyle w:val="76"/>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9"/>
  </w:num>
  <w:num w:numId="3">
    <w:abstractNumId w:val="17"/>
  </w:num>
  <w:num w:numId="4">
    <w:abstractNumId w:val="16"/>
  </w:num>
  <w:num w:numId="5">
    <w:abstractNumId w:val="6"/>
  </w:num>
  <w:num w:numId="6">
    <w:abstractNumId w:val="10"/>
  </w:num>
  <w:num w:numId="7">
    <w:abstractNumId w:val="4"/>
  </w:num>
  <w:num w:numId="8">
    <w:abstractNumId w:val="0"/>
  </w:num>
  <w:num w:numId="9">
    <w:abstractNumId w:val="5"/>
  </w:num>
  <w:num w:numId="10">
    <w:abstractNumId w:val="1"/>
  </w:num>
  <w:num w:numId="11">
    <w:abstractNumId w:val="13"/>
  </w:num>
  <w:num w:numId="12">
    <w:abstractNumId w:val="14"/>
  </w:num>
  <w:num w:numId="13">
    <w:abstractNumId w:val="15"/>
  </w:num>
  <w:num w:numId="14">
    <w:abstractNumId w:val="7"/>
  </w:num>
  <w:num w:numId="15">
    <w:abstractNumId w:val="11"/>
  </w:num>
  <w:num w:numId="16">
    <w:abstractNumId w:val="8"/>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5A2"/>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3EF5"/>
    <w:rsid w:val="0003450C"/>
    <w:rsid w:val="00035D2C"/>
    <w:rsid w:val="00036134"/>
    <w:rsid w:val="00036861"/>
    <w:rsid w:val="000403BF"/>
    <w:rsid w:val="000409A3"/>
    <w:rsid w:val="00041398"/>
    <w:rsid w:val="00041A7A"/>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130C"/>
    <w:rsid w:val="0007241B"/>
    <w:rsid w:val="00073D2F"/>
    <w:rsid w:val="00073EDE"/>
    <w:rsid w:val="00073F32"/>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6D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71C"/>
    <w:rsid w:val="000A6744"/>
    <w:rsid w:val="000A6FFD"/>
    <w:rsid w:val="000B0579"/>
    <w:rsid w:val="000B0723"/>
    <w:rsid w:val="000B0CAC"/>
    <w:rsid w:val="000B191E"/>
    <w:rsid w:val="000B26B5"/>
    <w:rsid w:val="000B2796"/>
    <w:rsid w:val="000B3404"/>
    <w:rsid w:val="000B41FC"/>
    <w:rsid w:val="000B5CDB"/>
    <w:rsid w:val="000B669B"/>
    <w:rsid w:val="000B6EB3"/>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E04FD"/>
    <w:rsid w:val="000E1539"/>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050"/>
    <w:rsid w:val="0010130E"/>
    <w:rsid w:val="00101CA0"/>
    <w:rsid w:val="00102C7D"/>
    <w:rsid w:val="00103F01"/>
    <w:rsid w:val="00104B30"/>
    <w:rsid w:val="0010583B"/>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4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188"/>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677"/>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820"/>
    <w:rsid w:val="001E3194"/>
    <w:rsid w:val="001E330C"/>
    <w:rsid w:val="001E3B26"/>
    <w:rsid w:val="001E431B"/>
    <w:rsid w:val="001E4559"/>
    <w:rsid w:val="001E4938"/>
    <w:rsid w:val="001E4DFE"/>
    <w:rsid w:val="001E7105"/>
    <w:rsid w:val="001E7148"/>
    <w:rsid w:val="001E793E"/>
    <w:rsid w:val="001E7D2E"/>
    <w:rsid w:val="001F01BD"/>
    <w:rsid w:val="001F0257"/>
    <w:rsid w:val="001F0753"/>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56"/>
    <w:rsid w:val="00256B9E"/>
    <w:rsid w:val="00256FF4"/>
    <w:rsid w:val="0025752B"/>
    <w:rsid w:val="002629B4"/>
    <w:rsid w:val="0026332A"/>
    <w:rsid w:val="00263661"/>
    <w:rsid w:val="002646AA"/>
    <w:rsid w:val="00264814"/>
    <w:rsid w:val="00265539"/>
    <w:rsid w:val="002661E0"/>
    <w:rsid w:val="00266900"/>
    <w:rsid w:val="002672E3"/>
    <w:rsid w:val="00267D04"/>
    <w:rsid w:val="00267DB2"/>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A73CC"/>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225"/>
    <w:rsid w:val="002F49E5"/>
    <w:rsid w:val="002F4A37"/>
    <w:rsid w:val="002F5162"/>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D3C"/>
    <w:rsid w:val="00356F1E"/>
    <w:rsid w:val="003575CD"/>
    <w:rsid w:val="00357F49"/>
    <w:rsid w:val="00361AAE"/>
    <w:rsid w:val="003630B6"/>
    <w:rsid w:val="00363EBD"/>
    <w:rsid w:val="003644E3"/>
    <w:rsid w:val="00364FA7"/>
    <w:rsid w:val="00365641"/>
    <w:rsid w:val="00365836"/>
    <w:rsid w:val="00365D92"/>
    <w:rsid w:val="00366177"/>
    <w:rsid w:val="0036742A"/>
    <w:rsid w:val="00367BC2"/>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897"/>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1E2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495"/>
    <w:rsid w:val="004367C2"/>
    <w:rsid w:val="00436AB8"/>
    <w:rsid w:val="00436ABB"/>
    <w:rsid w:val="00436DAC"/>
    <w:rsid w:val="00437050"/>
    <w:rsid w:val="004410AA"/>
    <w:rsid w:val="00441BD6"/>
    <w:rsid w:val="004422F4"/>
    <w:rsid w:val="00444934"/>
    <w:rsid w:val="00444A35"/>
    <w:rsid w:val="00444E50"/>
    <w:rsid w:val="004455C7"/>
    <w:rsid w:val="00445F9A"/>
    <w:rsid w:val="00446715"/>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2FF8"/>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2FC0"/>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305D"/>
    <w:rsid w:val="004B3D98"/>
    <w:rsid w:val="004B4FF8"/>
    <w:rsid w:val="004B5922"/>
    <w:rsid w:val="004B5BAB"/>
    <w:rsid w:val="004B5CD0"/>
    <w:rsid w:val="004B5F4E"/>
    <w:rsid w:val="004B7A73"/>
    <w:rsid w:val="004C01BC"/>
    <w:rsid w:val="004C0CB3"/>
    <w:rsid w:val="004C2762"/>
    <w:rsid w:val="004C279D"/>
    <w:rsid w:val="004C2932"/>
    <w:rsid w:val="004C34A5"/>
    <w:rsid w:val="004C4F98"/>
    <w:rsid w:val="004C67A5"/>
    <w:rsid w:val="004C6CCC"/>
    <w:rsid w:val="004D1D63"/>
    <w:rsid w:val="004D2014"/>
    <w:rsid w:val="004D2667"/>
    <w:rsid w:val="004D3B21"/>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4F7E25"/>
    <w:rsid w:val="00500249"/>
    <w:rsid w:val="005003A4"/>
    <w:rsid w:val="005005A2"/>
    <w:rsid w:val="0050063C"/>
    <w:rsid w:val="00500D4F"/>
    <w:rsid w:val="005016E7"/>
    <w:rsid w:val="00502EEA"/>
    <w:rsid w:val="0050337E"/>
    <w:rsid w:val="0050397C"/>
    <w:rsid w:val="00504F04"/>
    <w:rsid w:val="005057F0"/>
    <w:rsid w:val="0050603B"/>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5BFD"/>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1FA9"/>
    <w:rsid w:val="0059211E"/>
    <w:rsid w:val="00593229"/>
    <w:rsid w:val="00593525"/>
    <w:rsid w:val="00593DC4"/>
    <w:rsid w:val="00594643"/>
    <w:rsid w:val="00594CD1"/>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CC4"/>
    <w:rsid w:val="005D573D"/>
    <w:rsid w:val="005D58B0"/>
    <w:rsid w:val="005D6524"/>
    <w:rsid w:val="005D65EE"/>
    <w:rsid w:val="005E00C2"/>
    <w:rsid w:val="005E01D1"/>
    <w:rsid w:val="005E0941"/>
    <w:rsid w:val="005E107A"/>
    <w:rsid w:val="005E10A5"/>
    <w:rsid w:val="005E1FA9"/>
    <w:rsid w:val="005E2575"/>
    <w:rsid w:val="005E2961"/>
    <w:rsid w:val="005E2A25"/>
    <w:rsid w:val="005E3734"/>
    <w:rsid w:val="005E3E2F"/>
    <w:rsid w:val="005E3F85"/>
    <w:rsid w:val="005E4438"/>
    <w:rsid w:val="005E4C8F"/>
    <w:rsid w:val="005E547E"/>
    <w:rsid w:val="005E5C1C"/>
    <w:rsid w:val="005E5E8B"/>
    <w:rsid w:val="005E600A"/>
    <w:rsid w:val="005E673D"/>
    <w:rsid w:val="005E6997"/>
    <w:rsid w:val="005E6D63"/>
    <w:rsid w:val="005E6E6D"/>
    <w:rsid w:val="005E7731"/>
    <w:rsid w:val="005E7C1B"/>
    <w:rsid w:val="005F0DB9"/>
    <w:rsid w:val="005F16EE"/>
    <w:rsid w:val="005F1C43"/>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08EA"/>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37C"/>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647C"/>
    <w:rsid w:val="006A64CC"/>
    <w:rsid w:val="006A6884"/>
    <w:rsid w:val="006A7561"/>
    <w:rsid w:val="006A791C"/>
    <w:rsid w:val="006A7E5A"/>
    <w:rsid w:val="006B0B82"/>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0086"/>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454B"/>
    <w:rsid w:val="00704615"/>
    <w:rsid w:val="007050E5"/>
    <w:rsid w:val="00707F2C"/>
    <w:rsid w:val="0071011D"/>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3B4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66BA"/>
    <w:rsid w:val="007673CD"/>
    <w:rsid w:val="007705D1"/>
    <w:rsid w:val="007707A2"/>
    <w:rsid w:val="00770935"/>
    <w:rsid w:val="007718A2"/>
    <w:rsid w:val="00773361"/>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45B"/>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B7D0C"/>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C16"/>
    <w:rsid w:val="007E0DDC"/>
    <w:rsid w:val="007E158D"/>
    <w:rsid w:val="007E188A"/>
    <w:rsid w:val="007E3547"/>
    <w:rsid w:val="007E3AE3"/>
    <w:rsid w:val="007E5305"/>
    <w:rsid w:val="007E5692"/>
    <w:rsid w:val="007E5948"/>
    <w:rsid w:val="007E6191"/>
    <w:rsid w:val="007E6550"/>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7EA"/>
    <w:rsid w:val="00804C1F"/>
    <w:rsid w:val="00805874"/>
    <w:rsid w:val="00805BB7"/>
    <w:rsid w:val="0080694E"/>
    <w:rsid w:val="00806A22"/>
    <w:rsid w:val="00806C57"/>
    <w:rsid w:val="00807368"/>
    <w:rsid w:val="008075A2"/>
    <w:rsid w:val="00810BE1"/>
    <w:rsid w:val="00811244"/>
    <w:rsid w:val="00811763"/>
    <w:rsid w:val="0081195C"/>
    <w:rsid w:val="0081217E"/>
    <w:rsid w:val="00812B70"/>
    <w:rsid w:val="00813529"/>
    <w:rsid w:val="008138EC"/>
    <w:rsid w:val="00814202"/>
    <w:rsid w:val="008149DB"/>
    <w:rsid w:val="00814DBB"/>
    <w:rsid w:val="00814E4A"/>
    <w:rsid w:val="0081595E"/>
    <w:rsid w:val="0081621F"/>
    <w:rsid w:val="008165BC"/>
    <w:rsid w:val="008168DC"/>
    <w:rsid w:val="0081695D"/>
    <w:rsid w:val="00816C40"/>
    <w:rsid w:val="00817A84"/>
    <w:rsid w:val="008223EF"/>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A7FE5"/>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13ED"/>
    <w:rsid w:val="008C2693"/>
    <w:rsid w:val="008C48A3"/>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A9E"/>
    <w:rsid w:val="008E7CA9"/>
    <w:rsid w:val="008F05F2"/>
    <w:rsid w:val="008F0F85"/>
    <w:rsid w:val="008F1FF5"/>
    <w:rsid w:val="008F24C6"/>
    <w:rsid w:val="008F3051"/>
    <w:rsid w:val="008F34B4"/>
    <w:rsid w:val="008F4FE3"/>
    <w:rsid w:val="008F576C"/>
    <w:rsid w:val="008F58DC"/>
    <w:rsid w:val="008F5A83"/>
    <w:rsid w:val="008F7542"/>
    <w:rsid w:val="008F75CD"/>
    <w:rsid w:val="0090096B"/>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850"/>
    <w:rsid w:val="00913B9E"/>
    <w:rsid w:val="00914DC7"/>
    <w:rsid w:val="009152D9"/>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6FD"/>
    <w:rsid w:val="009468C9"/>
    <w:rsid w:val="00946F90"/>
    <w:rsid w:val="0094701F"/>
    <w:rsid w:val="0094768E"/>
    <w:rsid w:val="00947B27"/>
    <w:rsid w:val="00947BCE"/>
    <w:rsid w:val="00951084"/>
    <w:rsid w:val="00951A3B"/>
    <w:rsid w:val="00952AF9"/>
    <w:rsid w:val="00953C3B"/>
    <w:rsid w:val="00954E67"/>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718"/>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A96"/>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415"/>
    <w:rsid w:val="009E2F88"/>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ACF"/>
    <w:rsid w:val="00A06F17"/>
    <w:rsid w:val="00A073D5"/>
    <w:rsid w:val="00A0744A"/>
    <w:rsid w:val="00A07A73"/>
    <w:rsid w:val="00A10420"/>
    <w:rsid w:val="00A10EF5"/>
    <w:rsid w:val="00A11243"/>
    <w:rsid w:val="00A11783"/>
    <w:rsid w:val="00A11F5C"/>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39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09E8"/>
    <w:rsid w:val="00A62EDA"/>
    <w:rsid w:val="00A63F76"/>
    <w:rsid w:val="00A641BC"/>
    <w:rsid w:val="00A64677"/>
    <w:rsid w:val="00A64C68"/>
    <w:rsid w:val="00A65361"/>
    <w:rsid w:val="00A65E6B"/>
    <w:rsid w:val="00A666A1"/>
    <w:rsid w:val="00A667A4"/>
    <w:rsid w:val="00A71AA8"/>
    <w:rsid w:val="00A71EFD"/>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6FE"/>
    <w:rsid w:val="00A90AB4"/>
    <w:rsid w:val="00A91EE7"/>
    <w:rsid w:val="00A92215"/>
    <w:rsid w:val="00A92367"/>
    <w:rsid w:val="00A929E4"/>
    <w:rsid w:val="00A93CD4"/>
    <w:rsid w:val="00A94366"/>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1C8"/>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6AD1"/>
    <w:rsid w:val="00AE7706"/>
    <w:rsid w:val="00AE7F0C"/>
    <w:rsid w:val="00AF18C5"/>
    <w:rsid w:val="00AF1BA9"/>
    <w:rsid w:val="00AF1D34"/>
    <w:rsid w:val="00AF2F1C"/>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2105"/>
    <w:rsid w:val="00B15BD8"/>
    <w:rsid w:val="00B16067"/>
    <w:rsid w:val="00B16D3E"/>
    <w:rsid w:val="00B177B1"/>
    <w:rsid w:val="00B17C03"/>
    <w:rsid w:val="00B2047B"/>
    <w:rsid w:val="00B2161D"/>
    <w:rsid w:val="00B21C6B"/>
    <w:rsid w:val="00B21CA0"/>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6CB"/>
    <w:rsid w:val="00B72B67"/>
    <w:rsid w:val="00B741C1"/>
    <w:rsid w:val="00B744AE"/>
    <w:rsid w:val="00B7453E"/>
    <w:rsid w:val="00B74E22"/>
    <w:rsid w:val="00B75963"/>
    <w:rsid w:val="00B75D4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07D"/>
    <w:rsid w:val="00B972E9"/>
    <w:rsid w:val="00B978BD"/>
    <w:rsid w:val="00B97932"/>
    <w:rsid w:val="00BA0436"/>
    <w:rsid w:val="00BA0D91"/>
    <w:rsid w:val="00BA14DC"/>
    <w:rsid w:val="00BA24CC"/>
    <w:rsid w:val="00BA28B8"/>
    <w:rsid w:val="00BA39B2"/>
    <w:rsid w:val="00BA657D"/>
    <w:rsid w:val="00BA6D1A"/>
    <w:rsid w:val="00BA6F54"/>
    <w:rsid w:val="00BA747F"/>
    <w:rsid w:val="00BA7874"/>
    <w:rsid w:val="00BB07D5"/>
    <w:rsid w:val="00BB0CE1"/>
    <w:rsid w:val="00BB0F3B"/>
    <w:rsid w:val="00BB11E6"/>
    <w:rsid w:val="00BB1479"/>
    <w:rsid w:val="00BB1620"/>
    <w:rsid w:val="00BB3350"/>
    <w:rsid w:val="00BB3668"/>
    <w:rsid w:val="00BB49A9"/>
    <w:rsid w:val="00BB52C2"/>
    <w:rsid w:val="00BB5EB3"/>
    <w:rsid w:val="00BB665F"/>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468F"/>
    <w:rsid w:val="00C04D7F"/>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D15"/>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4909"/>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852"/>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6045"/>
    <w:rsid w:val="00CF6948"/>
    <w:rsid w:val="00CF6E1F"/>
    <w:rsid w:val="00CF7A58"/>
    <w:rsid w:val="00D00D56"/>
    <w:rsid w:val="00D01C45"/>
    <w:rsid w:val="00D03021"/>
    <w:rsid w:val="00D030CF"/>
    <w:rsid w:val="00D03C28"/>
    <w:rsid w:val="00D03E8C"/>
    <w:rsid w:val="00D0458B"/>
    <w:rsid w:val="00D04780"/>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6062"/>
    <w:rsid w:val="00D260BF"/>
    <w:rsid w:val="00D2642B"/>
    <w:rsid w:val="00D268A8"/>
    <w:rsid w:val="00D27D34"/>
    <w:rsid w:val="00D30B4B"/>
    <w:rsid w:val="00D3156C"/>
    <w:rsid w:val="00D3160D"/>
    <w:rsid w:val="00D31D2D"/>
    <w:rsid w:val="00D327FE"/>
    <w:rsid w:val="00D32916"/>
    <w:rsid w:val="00D33001"/>
    <w:rsid w:val="00D34887"/>
    <w:rsid w:val="00D349AB"/>
    <w:rsid w:val="00D35AF1"/>
    <w:rsid w:val="00D35FB7"/>
    <w:rsid w:val="00D35FB9"/>
    <w:rsid w:val="00D360E8"/>
    <w:rsid w:val="00D369E2"/>
    <w:rsid w:val="00D37FDC"/>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2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30C"/>
    <w:rsid w:val="00DB5FF7"/>
    <w:rsid w:val="00DB663C"/>
    <w:rsid w:val="00DB685E"/>
    <w:rsid w:val="00DB6D2B"/>
    <w:rsid w:val="00DC0147"/>
    <w:rsid w:val="00DC0ABD"/>
    <w:rsid w:val="00DC2330"/>
    <w:rsid w:val="00DC386F"/>
    <w:rsid w:val="00DC4D0A"/>
    <w:rsid w:val="00DC5CA0"/>
    <w:rsid w:val="00DC6354"/>
    <w:rsid w:val="00DD0157"/>
    <w:rsid w:val="00DD03A1"/>
    <w:rsid w:val="00DD05CA"/>
    <w:rsid w:val="00DD100B"/>
    <w:rsid w:val="00DD1D22"/>
    <w:rsid w:val="00DD22C4"/>
    <w:rsid w:val="00DD2570"/>
    <w:rsid w:val="00DD3655"/>
    <w:rsid w:val="00DD36B9"/>
    <w:rsid w:val="00DD4523"/>
    <w:rsid w:val="00DD61E0"/>
    <w:rsid w:val="00DD6645"/>
    <w:rsid w:val="00DD6D7F"/>
    <w:rsid w:val="00DD7850"/>
    <w:rsid w:val="00DE12E3"/>
    <w:rsid w:val="00DE17B7"/>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368"/>
    <w:rsid w:val="00E45F3E"/>
    <w:rsid w:val="00E46222"/>
    <w:rsid w:val="00E46652"/>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452C"/>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131"/>
    <w:rsid w:val="00ED3CED"/>
    <w:rsid w:val="00ED3DBC"/>
    <w:rsid w:val="00ED41BD"/>
    <w:rsid w:val="00ED4617"/>
    <w:rsid w:val="00ED4CC8"/>
    <w:rsid w:val="00ED4E1E"/>
    <w:rsid w:val="00ED520A"/>
    <w:rsid w:val="00ED59F2"/>
    <w:rsid w:val="00ED5ECE"/>
    <w:rsid w:val="00ED65A0"/>
    <w:rsid w:val="00EE06F4"/>
    <w:rsid w:val="00EE0A98"/>
    <w:rsid w:val="00EE0C73"/>
    <w:rsid w:val="00EE0D51"/>
    <w:rsid w:val="00EE11BD"/>
    <w:rsid w:val="00EE1CA1"/>
    <w:rsid w:val="00EE271F"/>
    <w:rsid w:val="00EE2E74"/>
    <w:rsid w:val="00EE2F81"/>
    <w:rsid w:val="00EE35F1"/>
    <w:rsid w:val="00EE51D7"/>
    <w:rsid w:val="00EE5614"/>
    <w:rsid w:val="00EE563F"/>
    <w:rsid w:val="00EE5BD0"/>
    <w:rsid w:val="00EE6E5C"/>
    <w:rsid w:val="00EE7C54"/>
    <w:rsid w:val="00EE7C67"/>
    <w:rsid w:val="00EF0DD1"/>
    <w:rsid w:val="00EF13B5"/>
    <w:rsid w:val="00EF1B1A"/>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DE0"/>
    <w:rsid w:val="00F04EAF"/>
    <w:rsid w:val="00F04FB6"/>
    <w:rsid w:val="00F055B3"/>
    <w:rsid w:val="00F058F3"/>
    <w:rsid w:val="00F05A16"/>
    <w:rsid w:val="00F06BF1"/>
    <w:rsid w:val="00F06D5E"/>
    <w:rsid w:val="00F07694"/>
    <w:rsid w:val="00F076F6"/>
    <w:rsid w:val="00F10560"/>
    <w:rsid w:val="00F10D32"/>
    <w:rsid w:val="00F10E70"/>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19B"/>
    <w:rsid w:val="00F26565"/>
    <w:rsid w:val="00F26876"/>
    <w:rsid w:val="00F30D52"/>
    <w:rsid w:val="00F31315"/>
    <w:rsid w:val="00F31A47"/>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219A"/>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A21"/>
    <w:rsid w:val="00FA4D5E"/>
    <w:rsid w:val="00FA5709"/>
    <w:rsid w:val="00FA5926"/>
    <w:rsid w:val="00FB0923"/>
    <w:rsid w:val="00FB10FB"/>
    <w:rsid w:val="00FB1B28"/>
    <w:rsid w:val="00FB1E02"/>
    <w:rsid w:val="00FB2CEA"/>
    <w:rsid w:val="00FB2F1C"/>
    <w:rsid w:val="00FB32EE"/>
    <w:rsid w:val="00FB4245"/>
    <w:rsid w:val="00FB4BB1"/>
    <w:rsid w:val="00FB5148"/>
    <w:rsid w:val="00FB5437"/>
    <w:rsid w:val="00FB60C3"/>
    <w:rsid w:val="00FB7567"/>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95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6E"/>
    <w:rsid w:val="00FE1CA1"/>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258"/>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423F24"/>
    <w:rsid w:val="01F6741A"/>
    <w:rsid w:val="03362153"/>
    <w:rsid w:val="034F5410"/>
    <w:rsid w:val="041F275B"/>
    <w:rsid w:val="04485493"/>
    <w:rsid w:val="0B45439C"/>
    <w:rsid w:val="0D3333AA"/>
    <w:rsid w:val="0D7E262D"/>
    <w:rsid w:val="0E7B6FA5"/>
    <w:rsid w:val="0E9D4189"/>
    <w:rsid w:val="0F71686E"/>
    <w:rsid w:val="10984ADD"/>
    <w:rsid w:val="11FA4B83"/>
    <w:rsid w:val="13C82B02"/>
    <w:rsid w:val="14542CF8"/>
    <w:rsid w:val="14F70FF5"/>
    <w:rsid w:val="161C3356"/>
    <w:rsid w:val="17A80F7A"/>
    <w:rsid w:val="1ABE0413"/>
    <w:rsid w:val="1DD2423E"/>
    <w:rsid w:val="1F772C44"/>
    <w:rsid w:val="25006F5D"/>
    <w:rsid w:val="25310FEB"/>
    <w:rsid w:val="26141660"/>
    <w:rsid w:val="264D4F65"/>
    <w:rsid w:val="268A7AD6"/>
    <w:rsid w:val="26AA1702"/>
    <w:rsid w:val="26D95F30"/>
    <w:rsid w:val="27E50C1B"/>
    <w:rsid w:val="29084DDE"/>
    <w:rsid w:val="29836500"/>
    <w:rsid w:val="2A7E69F0"/>
    <w:rsid w:val="2AC27F72"/>
    <w:rsid w:val="2BAB53B1"/>
    <w:rsid w:val="2C475230"/>
    <w:rsid w:val="2D1511E8"/>
    <w:rsid w:val="2DA1240D"/>
    <w:rsid w:val="31375C1C"/>
    <w:rsid w:val="316F64A7"/>
    <w:rsid w:val="32B95D93"/>
    <w:rsid w:val="32D119E3"/>
    <w:rsid w:val="337376BE"/>
    <w:rsid w:val="34336FAF"/>
    <w:rsid w:val="35F101E8"/>
    <w:rsid w:val="36E856D4"/>
    <w:rsid w:val="37936580"/>
    <w:rsid w:val="37D23FA3"/>
    <w:rsid w:val="388E0F63"/>
    <w:rsid w:val="38EB24F1"/>
    <w:rsid w:val="3D512545"/>
    <w:rsid w:val="3E112B01"/>
    <w:rsid w:val="3E853F66"/>
    <w:rsid w:val="3F910B0D"/>
    <w:rsid w:val="3FA6729E"/>
    <w:rsid w:val="429709CE"/>
    <w:rsid w:val="42D16588"/>
    <w:rsid w:val="46031B0A"/>
    <w:rsid w:val="49B47B33"/>
    <w:rsid w:val="4A053F27"/>
    <w:rsid w:val="4B1965D1"/>
    <w:rsid w:val="4CB56BB1"/>
    <w:rsid w:val="4D233F9A"/>
    <w:rsid w:val="4E0B73D8"/>
    <w:rsid w:val="4E8623B0"/>
    <w:rsid w:val="500668D0"/>
    <w:rsid w:val="503364C4"/>
    <w:rsid w:val="522279CC"/>
    <w:rsid w:val="53036F3E"/>
    <w:rsid w:val="53B32925"/>
    <w:rsid w:val="56694C24"/>
    <w:rsid w:val="56F01E52"/>
    <w:rsid w:val="585C0985"/>
    <w:rsid w:val="58BD015E"/>
    <w:rsid w:val="594545E3"/>
    <w:rsid w:val="5B16681F"/>
    <w:rsid w:val="5BFE68FD"/>
    <w:rsid w:val="5C2F0EEB"/>
    <w:rsid w:val="5D503026"/>
    <w:rsid w:val="5E7618FA"/>
    <w:rsid w:val="60E34B01"/>
    <w:rsid w:val="61946EA3"/>
    <w:rsid w:val="62F505A2"/>
    <w:rsid w:val="64C54B79"/>
    <w:rsid w:val="66803B38"/>
    <w:rsid w:val="68D73C8C"/>
    <w:rsid w:val="68DD144B"/>
    <w:rsid w:val="6A9A5B6B"/>
    <w:rsid w:val="6A9F48FD"/>
    <w:rsid w:val="6B2028CD"/>
    <w:rsid w:val="6F023A1E"/>
    <w:rsid w:val="706C4FFD"/>
    <w:rsid w:val="799B0F98"/>
    <w:rsid w:val="79E64672"/>
    <w:rsid w:val="7B892774"/>
    <w:rsid w:val="7CC443BD"/>
    <w:rsid w:val="7D0D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480"/>
      </w:tabs>
      <w:spacing w:line="400" w:lineRule="exact"/>
      <w:outlineLvl w:val="0"/>
    </w:pPr>
    <w:rPr>
      <w:b/>
      <w:sz w:val="30"/>
      <w:szCs w:val="20"/>
    </w:rPr>
  </w:style>
  <w:style w:type="paragraph" w:styleId="3">
    <w:name w:val="heading 2"/>
    <w:basedOn w:val="1"/>
    <w:next w:val="1"/>
    <w:qFormat/>
    <w:uiPriority w:val="0"/>
    <w:pPr>
      <w:keepNext/>
      <w:keepLines/>
      <w:spacing w:before="260" w:after="260" w:line="416" w:lineRule="auto"/>
      <w:outlineLvl w:val="1"/>
    </w:pPr>
    <w:rPr>
      <w:rFonts w:ascii="Arial" w:hAnsi="Arial"/>
      <w:b/>
      <w:bCs/>
      <w:sz w:val="28"/>
      <w:szCs w:val="32"/>
    </w:rPr>
  </w:style>
  <w:style w:type="paragraph" w:styleId="4">
    <w:name w:val="heading 3"/>
    <w:basedOn w:val="1"/>
    <w:next w:val="1"/>
    <w:qFormat/>
    <w:uiPriority w:val="0"/>
    <w:pPr>
      <w:tabs>
        <w:tab w:val="left" w:pos="851"/>
      </w:tabs>
      <w:spacing w:line="300" w:lineRule="auto"/>
      <w:outlineLvl w:val="2"/>
    </w:pPr>
    <w:rPr>
      <w:rFonts w:ascii="黑体" w:eastAsia="黑体"/>
      <w:sz w:val="24"/>
      <w:szCs w:val="20"/>
    </w:rPr>
  </w:style>
  <w:style w:type="paragraph" w:styleId="5">
    <w:name w:val="heading 4"/>
    <w:basedOn w:val="1"/>
    <w:next w:val="1"/>
    <w:qFormat/>
    <w:uiPriority w:val="0"/>
    <w:pPr>
      <w:spacing w:line="300" w:lineRule="auto"/>
      <w:outlineLvl w:val="3"/>
    </w:pPr>
    <w:rPr>
      <w:rFonts w:ascii="黑体" w:eastAsia="黑体"/>
      <w:sz w:val="24"/>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numPr>
        <w:ilvl w:val="0"/>
        <w:numId w:val="2"/>
      </w:numPr>
      <w:spacing w:line="360" w:lineRule="auto"/>
      <w:jc w:val="center"/>
      <w:outlineLvl w:val="5"/>
    </w:pPr>
    <w:rPr>
      <w:b/>
      <w:bCs/>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hanging="200"/>
    </w:pPr>
    <w:rPr>
      <w:szCs w:val="20"/>
    </w:rPr>
  </w:style>
  <w:style w:type="paragraph" w:styleId="9">
    <w:name w:val="Normal Indent"/>
    <w:basedOn w:val="1"/>
    <w:qFormat/>
    <w:uiPriority w:val="0"/>
    <w:pPr>
      <w:ind w:firstLine="420" w:firstLineChars="200"/>
    </w:pPr>
    <w:rPr>
      <w:sz w:val="28"/>
      <w:szCs w:val="20"/>
    </w:rPr>
  </w:style>
  <w:style w:type="paragraph" w:styleId="10">
    <w:name w:val="caption"/>
    <w:basedOn w:val="1"/>
    <w:next w:val="1"/>
    <w:qFormat/>
    <w:uiPriority w:val="0"/>
    <w:pPr>
      <w:adjustRightInd w:val="0"/>
      <w:spacing w:before="152" w:after="160"/>
      <w:textAlignment w:val="baseline"/>
    </w:pPr>
    <w:rPr>
      <w:rFonts w:ascii="Arial" w:hAnsi="Arial" w:eastAsia="黑体"/>
      <w:szCs w:val="20"/>
    </w:rPr>
  </w:style>
  <w:style w:type="paragraph" w:styleId="11">
    <w:name w:val="Document Map"/>
    <w:basedOn w:val="1"/>
    <w:semiHidden/>
    <w:qFormat/>
    <w:uiPriority w:val="0"/>
    <w:pPr>
      <w:shd w:val="clear" w:color="auto" w:fill="000080"/>
    </w:pPr>
  </w:style>
  <w:style w:type="paragraph" w:styleId="12">
    <w:name w:val="annotation text"/>
    <w:basedOn w:val="1"/>
    <w:link w:val="35"/>
    <w:qFormat/>
    <w:uiPriority w:val="0"/>
    <w:pPr>
      <w:keepNext/>
      <w:spacing w:beforeLines="50" w:afterLines="50" w:line="360" w:lineRule="auto"/>
      <w:ind w:firstLine="200" w:firstLineChars="200"/>
    </w:pPr>
    <w:rPr>
      <w:rFonts w:eastAsia="仿宋_GB2312"/>
      <w:sz w:val="24"/>
      <w:szCs w:val="20"/>
      <w:lang w:eastAsia="zh-TW"/>
    </w:rPr>
  </w:style>
  <w:style w:type="paragraph" w:styleId="13">
    <w:name w:val="Body Text"/>
    <w:basedOn w:val="1"/>
    <w:qFormat/>
    <w:uiPriority w:val="0"/>
    <w:pPr>
      <w:spacing w:after="120"/>
    </w:pPr>
  </w:style>
  <w:style w:type="paragraph" w:styleId="14">
    <w:name w:val="Body Text Indent"/>
    <w:basedOn w:val="1"/>
    <w:qFormat/>
    <w:uiPriority w:val="0"/>
    <w:pPr>
      <w:spacing w:line="360" w:lineRule="exact"/>
      <w:ind w:firstLine="482"/>
    </w:pPr>
    <w:rPr>
      <w:sz w:val="24"/>
      <w:szCs w:val="20"/>
    </w:rPr>
  </w:style>
  <w:style w:type="paragraph" w:styleId="15">
    <w:name w:val="List 2"/>
    <w:basedOn w:val="1"/>
    <w:qFormat/>
    <w:uiPriority w:val="0"/>
    <w:pPr>
      <w:ind w:left="100" w:leftChars="200" w:hanging="200" w:hangingChars="200"/>
    </w:pPr>
  </w:style>
  <w:style w:type="paragraph" w:styleId="16">
    <w:name w:val="Plain Text"/>
    <w:basedOn w:val="1"/>
    <w:link w:val="36"/>
    <w:qFormat/>
    <w:uiPriority w:val="0"/>
    <w:rPr>
      <w:rFonts w:ascii="宋体" w:hAnsi="Courier New" w:cs="宋体"/>
      <w:szCs w:val="21"/>
    </w:rPr>
  </w:style>
  <w:style w:type="paragraph" w:styleId="17">
    <w:name w:val="Date"/>
    <w:basedOn w:val="1"/>
    <w:next w:val="1"/>
    <w:link w:val="37"/>
    <w:qFormat/>
    <w:uiPriority w:val="0"/>
    <w:rPr>
      <w:sz w:val="24"/>
      <w:szCs w:val="20"/>
    </w:rPr>
  </w:style>
  <w:style w:type="paragraph" w:styleId="18">
    <w:name w:val="Body Text Indent 2"/>
    <w:basedOn w:val="1"/>
    <w:link w:val="38"/>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39"/>
    <w:qFormat/>
    <w:uiPriority w:val="99"/>
    <w:pPr>
      <w:tabs>
        <w:tab w:val="center" w:pos="4153"/>
        <w:tab w:val="right" w:pos="8306"/>
      </w:tabs>
      <w:snapToGrid w:val="0"/>
      <w:jc w:val="left"/>
    </w:pPr>
    <w:rPr>
      <w:sz w:val="18"/>
      <w:szCs w:val="20"/>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22">
    <w:name w:val="List 5"/>
    <w:basedOn w:val="1"/>
    <w:semiHidden/>
    <w:qFormat/>
    <w:uiPriority w:val="0"/>
    <w:pPr>
      <w:ind w:left="100" w:hanging="200"/>
    </w:pPr>
    <w:rPr>
      <w:szCs w:val="2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25">
    <w:name w:val="List 4"/>
    <w:basedOn w:val="1"/>
    <w:qFormat/>
    <w:uiPriority w:val="0"/>
    <w:pPr>
      <w:ind w:left="100" w:hanging="200"/>
    </w:pPr>
    <w:rPr>
      <w:szCs w:val="20"/>
    </w:rPr>
  </w:style>
  <w:style w:type="paragraph" w:styleId="26">
    <w:name w:val="Normal (Web)"/>
    <w:basedOn w:val="1"/>
    <w:link w:val="41"/>
    <w:qFormat/>
    <w:uiPriority w:val="0"/>
    <w:rPr>
      <w:sz w:val="24"/>
    </w:rPr>
  </w:style>
  <w:style w:type="paragraph" w:styleId="27">
    <w:name w:val="annotation subject"/>
    <w:basedOn w:val="12"/>
    <w:next w:val="12"/>
    <w:link w:val="42"/>
    <w:qFormat/>
    <w:uiPriority w:val="0"/>
    <w:pPr>
      <w:keepNext w:val="0"/>
      <w:spacing w:beforeLines="0" w:afterLines="0" w:line="240" w:lineRule="auto"/>
      <w:ind w:firstLine="0" w:firstLineChars="0"/>
      <w:jc w:val="left"/>
    </w:pPr>
    <w:rPr>
      <w:b/>
      <w:bCs/>
      <w:sz w:val="21"/>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批注文字 Char"/>
    <w:link w:val="12"/>
    <w:qFormat/>
    <w:uiPriority w:val="0"/>
    <w:rPr>
      <w:rFonts w:eastAsia="仿宋_GB2312"/>
      <w:kern w:val="2"/>
      <w:sz w:val="24"/>
      <w:lang w:eastAsia="zh-TW"/>
    </w:rPr>
  </w:style>
  <w:style w:type="character" w:customStyle="1" w:styleId="36">
    <w:name w:val="纯文本 Char"/>
    <w:link w:val="16"/>
    <w:qFormat/>
    <w:locked/>
    <w:uiPriority w:val="0"/>
    <w:rPr>
      <w:rFonts w:ascii="宋体" w:hAnsi="Courier New" w:eastAsia="宋体" w:cs="宋体"/>
      <w:kern w:val="2"/>
      <w:sz w:val="21"/>
      <w:szCs w:val="21"/>
      <w:lang w:val="en-US" w:eastAsia="zh-CN" w:bidi="ar-SA"/>
    </w:rPr>
  </w:style>
  <w:style w:type="character" w:customStyle="1" w:styleId="37">
    <w:name w:val="日期 Char"/>
    <w:link w:val="17"/>
    <w:qFormat/>
    <w:uiPriority w:val="0"/>
    <w:rPr>
      <w:kern w:val="2"/>
      <w:sz w:val="24"/>
    </w:rPr>
  </w:style>
  <w:style w:type="character" w:customStyle="1" w:styleId="38">
    <w:name w:val="正文文本缩进 2 Char"/>
    <w:link w:val="18"/>
    <w:qFormat/>
    <w:uiPriority w:val="0"/>
    <w:rPr>
      <w:kern w:val="2"/>
      <w:sz w:val="21"/>
      <w:szCs w:val="24"/>
    </w:rPr>
  </w:style>
  <w:style w:type="character" w:customStyle="1" w:styleId="39">
    <w:name w:val="页脚 Char"/>
    <w:link w:val="20"/>
    <w:qFormat/>
    <w:uiPriority w:val="99"/>
    <w:rPr>
      <w:kern w:val="2"/>
      <w:sz w:val="18"/>
    </w:rPr>
  </w:style>
  <w:style w:type="character" w:customStyle="1" w:styleId="40">
    <w:name w:val="页眉 Char"/>
    <w:link w:val="21"/>
    <w:qFormat/>
    <w:uiPriority w:val="99"/>
    <w:rPr>
      <w:kern w:val="2"/>
      <w:sz w:val="18"/>
    </w:rPr>
  </w:style>
  <w:style w:type="character" w:customStyle="1" w:styleId="41">
    <w:name w:val="普通(网站) Char"/>
    <w:link w:val="26"/>
    <w:qFormat/>
    <w:uiPriority w:val="0"/>
    <w:rPr>
      <w:kern w:val="2"/>
      <w:sz w:val="24"/>
      <w:szCs w:val="24"/>
    </w:rPr>
  </w:style>
  <w:style w:type="character" w:customStyle="1" w:styleId="42">
    <w:name w:val="批注主题 Char"/>
    <w:link w:val="27"/>
    <w:qFormat/>
    <w:uiPriority w:val="0"/>
    <w:rPr>
      <w:rFonts w:eastAsia="仿宋_GB2312"/>
      <w:b/>
      <w:bCs/>
      <w:kern w:val="2"/>
      <w:sz w:val="21"/>
      <w:szCs w:val="24"/>
      <w:lang w:eastAsia="zh-TW"/>
    </w:rPr>
  </w:style>
  <w:style w:type="character" w:customStyle="1" w:styleId="43">
    <w:name w:val="访问过的超链接1"/>
    <w:qFormat/>
    <w:uiPriority w:val="0"/>
    <w:rPr>
      <w:color w:val="800080"/>
      <w:u w:val="single"/>
    </w:rPr>
  </w:style>
  <w:style w:type="paragraph" w:customStyle="1" w:styleId="44">
    <w:name w:val="1"/>
    <w:basedOn w:val="1"/>
    <w:next w:val="14"/>
    <w:qFormat/>
    <w:uiPriority w:val="0"/>
    <w:pPr>
      <w:ind w:firstLine="540" w:firstLineChars="225"/>
    </w:pPr>
    <w:rPr>
      <w:sz w:val="24"/>
    </w:rPr>
  </w:style>
  <w:style w:type="paragraph" w:customStyle="1" w:styleId="45">
    <w:name w:val="条第5级，后正文"/>
    <w:basedOn w:val="6"/>
    <w:qFormat/>
    <w:uiPriority w:val="0"/>
    <w:pPr>
      <w:keepNext w:val="0"/>
      <w:keepLines w:val="0"/>
      <w:tabs>
        <w:tab w:val="left" w:pos="1080"/>
        <w:tab w:val="left" w:pos="1361"/>
      </w:tabs>
      <w:spacing w:before="0" w:after="0" w:line="300" w:lineRule="auto"/>
    </w:pPr>
    <w:rPr>
      <w:rFonts w:ascii="宋体"/>
      <w:b w:val="0"/>
      <w:bCs w:val="0"/>
      <w:sz w:val="24"/>
      <w:szCs w:val="20"/>
    </w:rPr>
  </w:style>
  <w:style w:type="paragraph" w:customStyle="1" w:styleId="46">
    <w:name w:val="Char Char2 Char Char Char Char Char Char"/>
    <w:basedOn w:val="1"/>
    <w:qFormat/>
    <w:uiPriority w:val="0"/>
    <w:pPr>
      <w:spacing w:after="160" w:line="240" w:lineRule="exact"/>
    </w:pPr>
    <w:rPr>
      <w:rFonts w:ascii="Verdana" w:hAnsi="Verdana" w:cs="Verdana"/>
      <w:sz w:val="20"/>
      <w:szCs w:val="20"/>
      <w:lang w:eastAsia="en-US"/>
    </w:rPr>
  </w:style>
  <w:style w:type="paragraph" w:customStyle="1" w:styleId="47">
    <w:name w:val="Char Char Char (文字) (文字) Char (文字) (文字) Char Char Char (文字) (文字) Char Char Char Char Char Char Char Char Char"/>
    <w:basedOn w:val="1"/>
    <w:qFormat/>
    <w:uiPriority w:val="0"/>
    <w:pPr>
      <w:spacing w:after="160" w:line="240" w:lineRule="exact"/>
    </w:pPr>
    <w:rPr>
      <w:rFonts w:ascii="Verdana" w:hAnsi="Verdana" w:cs="Verdana"/>
      <w:color w:val="000000"/>
      <w:sz w:val="20"/>
      <w:szCs w:val="20"/>
      <w:lang w:eastAsia="en-US"/>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9">
    <w:name w:val="Char Char Char"/>
    <w:basedOn w:val="1"/>
    <w:qFormat/>
    <w:uiPriority w:val="0"/>
    <w:rPr>
      <w:rFonts w:ascii="Tahoma" w:hAnsi="Tahoma"/>
      <w:sz w:val="24"/>
      <w:szCs w:val="20"/>
    </w:rPr>
  </w:style>
  <w:style w:type="paragraph" w:customStyle="1" w:styleId="50">
    <w:name w:val="Char2"/>
    <w:basedOn w:val="11"/>
    <w:qFormat/>
    <w:uiPriority w:val="0"/>
    <w:pPr>
      <w:widowControl/>
      <w:ind w:firstLine="454"/>
      <w:jc w:val="left"/>
    </w:pPr>
    <w:rPr>
      <w:rFonts w:ascii="Tahoma" w:hAnsi="Tahoma" w:cs="宋体"/>
      <w:kern w:val="0"/>
      <w:szCs w:val="20"/>
    </w:rPr>
  </w:style>
  <w:style w:type="paragraph" w:customStyle="1" w:styleId="51">
    <w:name w:val="Char Char4 Char Char Char Char Char Char Char Char Char Char Char Char Char Char Char Char Char Char Char Char Char Char"/>
    <w:basedOn w:val="1"/>
    <w:qFormat/>
    <w:uiPriority w:val="0"/>
    <w:pPr>
      <w:tabs>
        <w:tab w:val="left" w:pos="1720"/>
      </w:tabs>
      <w:adjustRightInd w:val="0"/>
      <w:snapToGrid w:val="0"/>
      <w:ind w:left="1720" w:hanging="1080"/>
      <w:jc w:val="left"/>
    </w:pPr>
    <w:rPr>
      <w:rFonts w:eastAsia="黑体"/>
      <w:sz w:val="24"/>
    </w:rPr>
  </w:style>
  <w:style w:type="paragraph" w:customStyle="1" w:styleId="52">
    <w:name w:val="默认段落字体 Para Char Char Char Char Char Char Char Char Char1 Char Char Char Char Char Char Char"/>
    <w:basedOn w:val="11"/>
    <w:qFormat/>
    <w:uiPriority w:val="0"/>
    <w:rPr>
      <w:rFonts w:ascii="Tahoma" w:hAnsi="Tahoma"/>
      <w:sz w:val="24"/>
    </w:rPr>
  </w:style>
  <w:style w:type="paragraph" w:customStyle="1" w:styleId="53">
    <w:name w:val="Char Char Char Char"/>
    <w:basedOn w:val="1"/>
    <w:qFormat/>
    <w:uiPriority w:val="0"/>
    <w:pPr>
      <w:ind w:left="316" w:hanging="316"/>
    </w:pPr>
    <w:rPr>
      <w:rFonts w:ascii="Tahoma" w:hAnsi="Tahoma" w:cs="宋体"/>
      <w:kern w:val="0"/>
      <w:sz w:val="24"/>
      <w:szCs w:val="20"/>
    </w:rPr>
  </w:style>
  <w:style w:type="paragraph" w:customStyle="1" w:styleId="54">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5">
    <w:name w:val="Char Char Char Char Char Char Char4"/>
    <w:basedOn w:val="1"/>
    <w:qFormat/>
    <w:uiPriority w:val="0"/>
    <w:rPr>
      <w:rFonts w:ascii="Tahoma" w:hAnsi="Tahoma"/>
      <w:sz w:val="24"/>
    </w:rPr>
  </w:style>
  <w:style w:type="paragraph" w:customStyle="1" w:styleId="56">
    <w:name w:val="段"/>
    <w:link w:val="57"/>
    <w:qFormat/>
    <w:uiPriority w:val="0"/>
    <w:pPr>
      <w:widowControl w:val="0"/>
      <w:autoSpaceDE w:val="0"/>
      <w:autoSpaceDN w:val="0"/>
      <w:adjustRightInd w:val="0"/>
      <w:snapToGrid w:val="0"/>
      <w:spacing w:line="480" w:lineRule="exact"/>
      <w:ind w:left="10" w:leftChars="5" w:firstLine="502" w:firstLineChars="209"/>
      <w:jc w:val="both"/>
    </w:pPr>
    <w:rPr>
      <w:rFonts w:ascii="宋体" w:hAnsi="宋体" w:eastAsia="宋体" w:cs="Times New Roman"/>
      <w:color w:val="FF0000"/>
      <w:sz w:val="24"/>
      <w:szCs w:val="24"/>
      <w:lang w:val="en-US" w:eastAsia="zh-CN" w:bidi="ar-SA"/>
    </w:rPr>
  </w:style>
  <w:style w:type="character" w:customStyle="1" w:styleId="57">
    <w:name w:val="段 Char1"/>
    <w:link w:val="56"/>
    <w:qFormat/>
    <w:uiPriority w:val="0"/>
    <w:rPr>
      <w:rFonts w:ascii="宋体" w:hAnsi="宋体"/>
      <w:color w:val="FF0000"/>
      <w:sz w:val="24"/>
      <w:szCs w:val="24"/>
      <w:lang w:val="en-US" w:eastAsia="zh-CN" w:bidi="ar-SA"/>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59">
    <w:name w:val="Char Char Char Char Char Char Char3"/>
    <w:basedOn w:val="1"/>
    <w:qFormat/>
    <w:uiPriority w:val="0"/>
    <w:rPr>
      <w:rFonts w:ascii="Tahoma" w:hAnsi="Tahoma"/>
      <w:sz w:val="24"/>
    </w:rPr>
  </w:style>
  <w:style w:type="paragraph" w:customStyle="1" w:styleId="60">
    <w:name w:val="列表段落"/>
    <w:basedOn w:val="1"/>
    <w:link w:val="61"/>
    <w:qFormat/>
    <w:uiPriority w:val="99"/>
    <w:pPr>
      <w:ind w:firstLine="420" w:firstLineChars="200"/>
    </w:pPr>
    <w:rPr>
      <w:rFonts w:ascii="Calibri" w:hAnsi="Calibri"/>
      <w:szCs w:val="22"/>
    </w:rPr>
  </w:style>
  <w:style w:type="character" w:customStyle="1" w:styleId="61">
    <w:name w:val="列表段落 字符"/>
    <w:link w:val="60"/>
    <w:qFormat/>
    <w:locked/>
    <w:uiPriority w:val="34"/>
    <w:rPr>
      <w:rFonts w:ascii="Calibri" w:hAnsi="Calibri"/>
      <w:kern w:val="2"/>
      <w:sz w:val="21"/>
      <w:szCs w:val="22"/>
    </w:rPr>
  </w:style>
  <w:style w:type="paragraph" w:customStyle="1" w:styleId="62">
    <w:name w:val="Char Char Char Char Char Char Char2"/>
    <w:basedOn w:val="1"/>
    <w:qFormat/>
    <w:uiPriority w:val="0"/>
    <w:rPr>
      <w:rFonts w:ascii="Tahoma" w:hAnsi="Tahoma"/>
      <w:sz w:val="24"/>
    </w:rPr>
  </w:style>
  <w:style w:type="character" w:customStyle="1" w:styleId="63">
    <w:name w:val="apple-converted-space"/>
    <w:qFormat/>
    <w:uiPriority w:val="0"/>
  </w:style>
  <w:style w:type="paragraph" w:customStyle="1" w:styleId="64">
    <w:name w:val="Char Char2 Char Char Char Char Char Char1"/>
    <w:basedOn w:val="1"/>
    <w:qFormat/>
    <w:uiPriority w:val="0"/>
    <w:pPr>
      <w:spacing w:after="160" w:line="240" w:lineRule="exact"/>
    </w:pPr>
    <w:rPr>
      <w:rFonts w:ascii="Verdana" w:hAnsi="Verdana" w:cs="Verdana"/>
      <w:sz w:val="20"/>
      <w:szCs w:val="20"/>
      <w:lang w:eastAsia="en-US"/>
    </w:rPr>
  </w:style>
  <w:style w:type="paragraph" w:customStyle="1" w:styleId="65">
    <w:name w:val="Char Char Char (文字) (文字) Char (文字) (文字) Char Char Char (文字) (文字) Char Char Char Char Char Char Char Char Char1"/>
    <w:basedOn w:val="1"/>
    <w:qFormat/>
    <w:uiPriority w:val="0"/>
    <w:pPr>
      <w:spacing w:after="160" w:line="240" w:lineRule="exact"/>
    </w:pPr>
    <w:rPr>
      <w:rFonts w:ascii="Verdana" w:hAnsi="Verdana" w:cs="Verdana"/>
      <w:color w:val="000000"/>
      <w:sz w:val="20"/>
      <w:szCs w:val="20"/>
      <w:lang w:eastAsia="en-US"/>
    </w:rPr>
  </w:style>
  <w:style w:type="paragraph" w:customStyle="1" w:styleId="66">
    <w:name w:val="Char Char Char Char Char Char Char1"/>
    <w:basedOn w:val="1"/>
    <w:qFormat/>
    <w:uiPriority w:val="0"/>
    <w:rPr>
      <w:rFonts w:ascii="Tahoma" w:hAnsi="Tahoma"/>
      <w:sz w:val="24"/>
    </w:rPr>
  </w:style>
  <w:style w:type="paragraph" w:customStyle="1" w:styleId="67">
    <w:name w:val="Char Char Char1"/>
    <w:basedOn w:val="1"/>
    <w:qFormat/>
    <w:uiPriority w:val="0"/>
    <w:rPr>
      <w:rFonts w:ascii="Tahoma" w:hAnsi="Tahoma"/>
      <w:sz w:val="24"/>
      <w:szCs w:val="20"/>
    </w:rPr>
  </w:style>
  <w:style w:type="paragraph" w:customStyle="1" w:styleId="68">
    <w:name w:val="_Style 12"/>
    <w:basedOn w:val="1"/>
    <w:next w:val="14"/>
    <w:qFormat/>
    <w:uiPriority w:val="0"/>
    <w:pPr>
      <w:ind w:firstLine="540" w:firstLineChars="225"/>
    </w:pPr>
    <w:rPr>
      <w:sz w:val="24"/>
    </w:rPr>
  </w:style>
  <w:style w:type="paragraph" w:customStyle="1" w:styleId="69">
    <w:name w:val="Char1"/>
    <w:basedOn w:val="11"/>
    <w:qFormat/>
    <w:uiPriority w:val="0"/>
    <w:pPr>
      <w:widowControl/>
      <w:ind w:firstLine="454"/>
      <w:jc w:val="left"/>
    </w:pPr>
    <w:rPr>
      <w:rFonts w:ascii="Tahoma" w:hAnsi="Tahoma" w:cs="宋体"/>
      <w:kern w:val="0"/>
      <w:szCs w:val="20"/>
    </w:rPr>
  </w:style>
  <w:style w:type="table" w:customStyle="1" w:styleId="70">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71">
    <w:name w:val="p0"/>
    <w:basedOn w:val="1"/>
    <w:qFormat/>
    <w:uiPriority w:val="0"/>
    <w:pPr>
      <w:widowControl/>
      <w:spacing w:line="500" w:lineRule="atLeast"/>
      <w:ind w:firstLine="420"/>
    </w:pPr>
    <w:rPr>
      <w:kern w:val="0"/>
      <w:szCs w:val="21"/>
    </w:rPr>
  </w:style>
  <w:style w:type="character" w:customStyle="1" w:styleId="72">
    <w:name w:val="日期 Char1"/>
    <w:semiHidden/>
    <w:qFormat/>
    <w:uiPriority w:val="99"/>
    <w:rPr>
      <w:sz w:val="21"/>
    </w:rPr>
  </w:style>
  <w:style w:type="character" w:customStyle="1" w:styleId="73">
    <w:name w:val="列出段落 Char"/>
    <w:qFormat/>
    <w:locked/>
    <w:uiPriority w:val="34"/>
    <w:rPr>
      <w:rFonts w:ascii="Calibri" w:hAnsi="Calibri"/>
      <w:kern w:val="2"/>
      <w:sz w:val="21"/>
      <w:szCs w:val="22"/>
    </w:rPr>
  </w:style>
  <w:style w:type="paragraph" w:styleId="74">
    <w:name w:val="List Paragraph"/>
    <w:basedOn w:val="1"/>
    <w:qFormat/>
    <w:uiPriority w:val="99"/>
    <w:pPr>
      <w:ind w:firstLine="420" w:firstLineChars="200"/>
    </w:pPr>
  </w:style>
  <w:style w:type="paragraph" w:customStyle="1" w:styleId="7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50)正文图编号及图题"/>
    <w:next w:val="1"/>
    <w:qFormat/>
    <w:uiPriority w:val="0"/>
    <w:pPr>
      <w:numPr>
        <w:ilvl w:val="0"/>
        <w:numId w:val="3"/>
      </w:numPr>
      <w:tabs>
        <w:tab w:val="left" w:pos="567"/>
      </w:tabs>
      <w:spacing w:line="300" w:lineRule="auto"/>
      <w:jc w:val="center"/>
    </w:pPr>
    <w:rPr>
      <w:rFonts w:ascii="黑体" w:hAnsi="Times New Roman" w:eastAsia="黑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E5F5-13EB-4772-906E-667932A1D35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2542</Words>
  <Characters>14490</Characters>
  <Lines>120</Lines>
  <Paragraphs>33</Paragraphs>
  <TotalTime>22</TotalTime>
  <ScaleCrop>false</ScaleCrop>
  <LinksUpToDate>false</LinksUpToDate>
  <CharactersWithSpaces>16999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2024-04-23T05:56:00Z</dcterms:created>
  <dc:creator>zbww</dc:creator>
  <cp:lastModifiedBy>50000671</cp:lastModifiedBy>
  <cp:lastPrinted>2025-10-30T03:31:00Z</cp:lastPrinted>
  <dcterms:modified xsi:type="dcterms:W3CDTF">2026-03-09T03:48:31Z</dcterms:modified>
  <dc:title>招 标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85F5AE9903BD4069851DFB6745B21232</vt:lpwstr>
  </property>
</Properties>
</file>