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sz w:val="84"/>
        </w:rPr>
      </w:pPr>
    </w:p>
    <w:p>
      <w:pPr>
        <w:widowControl/>
        <w:jc w:val="center"/>
        <w:rPr>
          <w:rFonts w:ascii="宋体"/>
          <w:sz w:val="84"/>
        </w:rPr>
      </w:pPr>
      <w:r>
        <w:rPr>
          <w:rFonts w:hint="eastAsia" w:ascii="宋体"/>
          <w:sz w:val="84"/>
        </w:rPr>
        <w:t>询比价文件</w:t>
      </w:r>
    </w:p>
    <w:p>
      <w:pPr>
        <w:spacing w:line="360" w:lineRule="atLeast"/>
        <w:jc w:val="center"/>
        <w:rPr>
          <w:sz w:val="32"/>
        </w:rPr>
      </w:pPr>
    </w:p>
    <w:p>
      <w:pPr>
        <w:spacing w:line="360" w:lineRule="atLeast"/>
        <w:jc w:val="center"/>
        <w:rPr>
          <w:sz w:val="32"/>
        </w:rPr>
      </w:pPr>
    </w:p>
    <w:p>
      <w:pPr>
        <w:spacing w:line="360" w:lineRule="atLeast"/>
        <w:jc w:val="center"/>
        <w:rPr>
          <w:sz w:val="32"/>
        </w:rPr>
      </w:pPr>
    </w:p>
    <w:p>
      <w:pPr>
        <w:spacing w:line="360" w:lineRule="atLeast"/>
        <w:jc w:val="center"/>
        <w:rPr>
          <w:sz w:val="32"/>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5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pPr>
              <w:spacing w:line="360" w:lineRule="atLeast"/>
              <w:jc w:val="right"/>
              <w:rPr>
                <w:rFonts w:ascii="宋体"/>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询比价编号：</w:t>
            </w:r>
          </w:p>
        </w:tc>
        <w:tc>
          <w:tcPr>
            <w:tcW w:w="5159" w:type="dxa"/>
          </w:tcPr>
          <w:p>
            <w:pPr>
              <w:spacing w:line="360" w:lineRule="atLeast"/>
              <w:rPr>
                <w:rFonts w:ascii="宋体"/>
                <w:color w:val="000000" w:themeColor="text1"/>
                <w:sz w:val="32"/>
                <w14:textFill>
                  <w14:solidFill>
                    <w14:schemeClr w14:val="tx1"/>
                  </w14:solidFill>
                </w14:textFill>
              </w:rPr>
            </w:pPr>
            <w:r>
              <w:rPr>
                <w:rFonts w:hint="eastAsia" w:ascii="宋体"/>
                <w:color w:val="000000" w:themeColor="text1"/>
                <w:sz w:val="32"/>
                <w14:textFill>
                  <w14:solidFill>
                    <w14:schemeClr w14:val="tx1"/>
                  </w14:solidFill>
                </w14:textFill>
              </w:rPr>
              <w:t>CXJJXBJ-2025-001</w:t>
            </w:r>
          </w:p>
          <w:p>
            <w:pPr>
              <w:spacing w:line="360" w:lineRule="atLeast"/>
              <w:rPr>
                <w:rFonts w:ascii="宋体"/>
                <w:color w:val="000000" w:themeColor="text1"/>
                <w:sz w:val="3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pPr>
              <w:spacing w:line="360" w:lineRule="atLeast"/>
              <w:jc w:val="right"/>
              <w:rPr>
                <w:rFonts w:ascii="宋体"/>
                <w:sz w:val="32"/>
              </w:rPr>
            </w:pPr>
            <w:r>
              <w:rPr>
                <w:rFonts w:hint="eastAsia"/>
                <w:sz w:val="32"/>
              </w:rPr>
              <w:t>项目名称：</w:t>
            </w:r>
            <w:r>
              <w:rPr>
                <w:rFonts w:ascii="宋体"/>
                <w:sz w:val="32"/>
              </w:rPr>
              <w:t xml:space="preserve"> </w:t>
            </w:r>
          </w:p>
        </w:tc>
        <w:tc>
          <w:tcPr>
            <w:tcW w:w="5159" w:type="dxa"/>
          </w:tcPr>
          <w:p>
            <w:pPr>
              <w:spacing w:line="360" w:lineRule="atLeast"/>
              <w:rPr>
                <w:rFonts w:ascii="宋体"/>
                <w:sz w:val="32"/>
              </w:rPr>
            </w:pPr>
            <w:r>
              <w:rPr>
                <w:rFonts w:hint="eastAsia"/>
                <w:sz w:val="32"/>
              </w:rPr>
              <w:t>环形件局部损伤修复过程控制技术研究</w:t>
            </w:r>
          </w:p>
        </w:tc>
      </w:tr>
    </w:tbl>
    <w:p>
      <w:pPr>
        <w:spacing w:line="360" w:lineRule="atLeast"/>
        <w:rPr>
          <w:rFonts w:ascii="宋体"/>
          <w:sz w:val="32"/>
        </w:rPr>
      </w:pPr>
    </w:p>
    <w:p/>
    <w:p>
      <w:pPr>
        <w:spacing w:line="480" w:lineRule="exact"/>
      </w:pPr>
    </w:p>
    <w:p/>
    <w:p/>
    <w:p/>
    <w:p/>
    <w:p/>
    <w:p/>
    <w:p/>
    <w:p/>
    <w:p>
      <w:pPr>
        <w:spacing w:before="240"/>
        <w:jc w:val="center"/>
        <w:rPr>
          <w:spacing w:val="20"/>
          <w:sz w:val="32"/>
        </w:rPr>
      </w:pPr>
    </w:p>
    <w:p>
      <w:pPr>
        <w:spacing w:before="240"/>
        <w:jc w:val="center"/>
        <w:rPr>
          <w:rFonts w:ascii="宋体" w:hAnsi="宋体"/>
          <w:b/>
          <w:bCs/>
          <w:sz w:val="36"/>
          <w:szCs w:val="36"/>
        </w:rPr>
      </w:pPr>
      <w:r>
        <w:rPr>
          <w:rFonts w:hint="eastAsia" w:ascii="宋体" w:hAnsi="宋体"/>
          <w:b/>
          <w:bCs/>
          <w:sz w:val="36"/>
          <w:szCs w:val="36"/>
        </w:rPr>
        <w:t>中国航发航空科技股份有限公司</w:t>
      </w:r>
    </w:p>
    <w:p>
      <w:pPr>
        <w:widowControl/>
        <w:jc w:val="center"/>
        <w:rPr>
          <w:spacing w:val="20"/>
          <w:sz w:val="32"/>
        </w:rPr>
      </w:pPr>
      <w:r>
        <w:rPr>
          <w:b/>
          <w:spacing w:val="20"/>
          <w:sz w:val="32"/>
        </w:rPr>
        <w:t>202</w:t>
      </w:r>
      <w:r>
        <w:rPr>
          <w:rFonts w:hint="eastAsia"/>
          <w:b/>
          <w:spacing w:val="20"/>
          <w:sz w:val="32"/>
        </w:rPr>
        <w:t>5年</w:t>
      </w:r>
      <w:r>
        <w:rPr>
          <w:rFonts w:hint="eastAsia"/>
          <w:b/>
          <w:spacing w:val="20"/>
          <w:sz w:val="32"/>
          <w:lang w:val="en-US" w:eastAsia="zh-CN"/>
        </w:rPr>
        <w:t>7</w:t>
      </w:r>
      <w:r>
        <w:rPr>
          <w:rFonts w:hint="eastAsia"/>
          <w:b/>
          <w:spacing w:val="20"/>
          <w:sz w:val="32"/>
        </w:rPr>
        <w:t>月</w:t>
      </w:r>
      <w:r>
        <w:rPr>
          <w:spacing w:val="20"/>
          <w:sz w:val="32"/>
        </w:rPr>
        <w:br w:type="page"/>
      </w:r>
    </w:p>
    <w:p>
      <w:pPr>
        <w:spacing w:before="240"/>
        <w:jc w:val="center"/>
        <w:rPr>
          <w:spacing w:val="20"/>
          <w:sz w:val="32"/>
        </w:rPr>
        <w:sectPr>
          <w:footerReference r:id="rId3" w:type="default"/>
          <w:footerReference r:id="rId4" w:type="even"/>
          <w:pgSz w:w="11906" w:h="16838"/>
          <w:pgMar w:top="1440" w:right="1797" w:bottom="1440" w:left="1797" w:header="851" w:footer="992" w:gutter="0"/>
          <w:cols w:space="425" w:num="1"/>
          <w:titlePg/>
          <w:docGrid w:type="lines" w:linePitch="312" w:charSpace="0"/>
        </w:sectPr>
      </w:pPr>
    </w:p>
    <w:p>
      <w:pPr>
        <w:pStyle w:val="2"/>
        <w:numPr>
          <w:ilvl w:val="0"/>
          <w:numId w:val="0"/>
        </w:numPr>
        <w:ind w:left="480"/>
        <w:jc w:val="center"/>
      </w:pPr>
      <w:r>
        <w:rPr>
          <w:rFonts w:hint="eastAsia"/>
        </w:rPr>
        <w:t>第一部分项目概况</w:t>
      </w:r>
    </w:p>
    <w:p>
      <w:pPr>
        <w:spacing w:line="360" w:lineRule="auto"/>
        <w:rPr>
          <w:rFonts w:ascii="宋体" w:hAnsi="宋体" w:cs="Arial"/>
          <w:sz w:val="24"/>
        </w:rPr>
      </w:pPr>
      <w:r>
        <w:rPr>
          <w:sz w:val="24"/>
        </w:rPr>
        <w:t>1.</w:t>
      </w:r>
      <w:r>
        <w:rPr>
          <w:rFonts w:hint="eastAsia"/>
          <w:sz w:val="24"/>
        </w:rPr>
        <w:t xml:space="preserve"> 项</w:t>
      </w:r>
      <w:r>
        <w:rPr>
          <w:rFonts w:hint="eastAsia" w:ascii="宋体" w:hAnsi="宋体" w:cs="Arial"/>
          <w:sz w:val="24"/>
        </w:rPr>
        <w:t>目名称：环形件局部损伤修复过程控制技术研究</w:t>
      </w:r>
    </w:p>
    <w:p>
      <w:pPr>
        <w:spacing w:line="360" w:lineRule="auto"/>
        <w:rPr>
          <w:sz w:val="24"/>
        </w:rPr>
      </w:pPr>
      <w:r>
        <w:rPr>
          <w:rFonts w:ascii="宋体" w:hAnsi="宋体" w:cs="Arial"/>
          <w:sz w:val="24"/>
        </w:rPr>
        <w:t xml:space="preserve">2. </w:t>
      </w:r>
      <w:r>
        <w:rPr>
          <w:rFonts w:hint="eastAsia" w:ascii="宋体" w:hAnsi="宋体" w:cs="Arial"/>
          <w:sz w:val="24"/>
        </w:rPr>
        <w:t>数量：</w:t>
      </w:r>
      <w:r>
        <w:rPr>
          <w:rFonts w:ascii="宋体" w:hAnsi="宋体" w:cs="Arial"/>
          <w:sz w:val="24"/>
        </w:rPr>
        <w:t>1</w:t>
      </w:r>
      <w:r>
        <w:rPr>
          <w:rFonts w:hint="eastAsia" w:ascii="宋体" w:hAnsi="宋体" w:cs="Arial"/>
          <w:sz w:val="24"/>
        </w:rPr>
        <w:t>次</w:t>
      </w:r>
    </w:p>
    <w:p>
      <w:pPr>
        <w:tabs>
          <w:tab w:val="left" w:pos="1080"/>
        </w:tabs>
        <w:spacing w:line="360" w:lineRule="auto"/>
        <w:rPr>
          <w:rFonts w:ascii="宋体" w:hAnsi="宋体"/>
          <w:sz w:val="24"/>
        </w:rPr>
      </w:pPr>
      <w:r>
        <w:rPr>
          <w:sz w:val="24"/>
        </w:rPr>
        <w:t>3.</w:t>
      </w:r>
      <w:r>
        <w:rPr>
          <w:rFonts w:hint="eastAsia"/>
          <w:sz w:val="24"/>
        </w:rPr>
        <w:t xml:space="preserve"> </w:t>
      </w:r>
      <w:r>
        <w:rPr>
          <w:rFonts w:hint="eastAsia" w:ascii="宋体" w:hAnsi="宋体"/>
          <w:sz w:val="24"/>
        </w:rPr>
        <w:t>服务周期及付款方式：</w:t>
      </w:r>
    </w:p>
    <w:p>
      <w:pPr>
        <w:tabs>
          <w:tab w:val="left" w:pos="1080"/>
        </w:tabs>
        <w:spacing w:line="360" w:lineRule="auto"/>
        <w:rPr>
          <w:rFonts w:ascii="Arial" w:hAnsi="宋体" w:cs="Arial"/>
          <w:sz w:val="24"/>
        </w:rPr>
      </w:pPr>
      <w:r>
        <w:rPr>
          <w:rFonts w:ascii="Arial" w:hAnsi="宋体" w:cs="Arial"/>
          <w:sz w:val="24"/>
        </w:rPr>
        <w:t>3.1</w:t>
      </w:r>
      <w:r>
        <w:rPr>
          <w:rFonts w:hint="eastAsia" w:ascii="Arial" w:hAnsi="宋体" w:cs="Arial"/>
          <w:sz w:val="24"/>
        </w:rPr>
        <w:t xml:space="preserve"> 服务周期：</w:t>
      </w:r>
      <w:r>
        <w:rPr>
          <w:rFonts w:hint="eastAsia" w:ascii="Arial" w:hAnsi="宋体" w:cs="Arial"/>
          <w:color w:val="000000" w:themeColor="text1"/>
          <w:sz w:val="24"/>
          <w14:textFill>
            <w14:solidFill>
              <w14:schemeClr w14:val="tx1"/>
            </w14:solidFill>
          </w14:textFill>
        </w:rPr>
        <w:t>202</w:t>
      </w:r>
      <w:r>
        <w:rPr>
          <w:rFonts w:hint="eastAsia" w:ascii="Arial" w:hAnsi="宋体" w:cs="Arial"/>
          <w:color w:val="000000" w:themeColor="text1"/>
          <w:sz w:val="24"/>
          <w:lang w:val="en-US" w:eastAsia="zh-CN"/>
          <w14:textFill>
            <w14:solidFill>
              <w14:schemeClr w14:val="tx1"/>
            </w14:solidFill>
          </w14:textFill>
        </w:rPr>
        <w:t>6</w:t>
      </w:r>
      <w:r>
        <w:rPr>
          <w:rFonts w:hint="eastAsia" w:ascii="Arial" w:hAnsi="宋体" w:cs="Arial"/>
          <w:color w:val="000000" w:themeColor="text1"/>
          <w:sz w:val="24"/>
          <w14:textFill>
            <w14:solidFill>
              <w14:schemeClr w14:val="tx1"/>
            </w14:solidFill>
          </w14:textFill>
        </w:rPr>
        <w:t>年</w:t>
      </w:r>
      <w:r>
        <w:rPr>
          <w:rFonts w:hint="eastAsia" w:ascii="Arial" w:hAnsi="宋体" w:cs="Arial"/>
          <w:color w:val="000000" w:themeColor="text1"/>
          <w:sz w:val="24"/>
          <w:lang w:val="en-US" w:eastAsia="zh-CN"/>
          <w14:textFill>
            <w14:solidFill>
              <w14:schemeClr w14:val="tx1"/>
            </w14:solidFill>
          </w14:textFill>
        </w:rPr>
        <w:t>3</w:t>
      </w:r>
      <w:r>
        <w:rPr>
          <w:rFonts w:hint="eastAsia" w:ascii="Arial" w:hAnsi="宋体" w:cs="Arial"/>
          <w:color w:val="000000" w:themeColor="text1"/>
          <w:sz w:val="24"/>
          <w14:textFill>
            <w14:solidFill>
              <w14:schemeClr w14:val="tx1"/>
            </w14:solidFill>
          </w14:textFill>
        </w:rPr>
        <w:t>月。</w:t>
      </w:r>
    </w:p>
    <w:p>
      <w:pPr>
        <w:tabs>
          <w:tab w:val="left" w:pos="1080"/>
          <w:tab w:val="left" w:pos="8280"/>
        </w:tabs>
        <w:suppressAutoHyphens/>
        <w:spacing w:line="360" w:lineRule="auto"/>
        <w:rPr>
          <w:rFonts w:ascii="Arial" w:hAnsi="宋体" w:cs="Arial"/>
          <w:sz w:val="24"/>
        </w:rPr>
      </w:pPr>
      <w:r>
        <w:rPr>
          <w:rFonts w:ascii="Arial" w:hAnsi="宋体" w:cs="Arial"/>
          <w:sz w:val="24"/>
        </w:rPr>
        <w:t>3.2</w:t>
      </w:r>
      <w:r>
        <w:rPr>
          <w:rFonts w:hint="eastAsia" w:ascii="Arial" w:hAnsi="宋体" w:cs="Arial"/>
          <w:sz w:val="24"/>
        </w:rPr>
        <w:t xml:space="preserve"> </w:t>
      </w:r>
      <w:r>
        <w:rPr>
          <w:rFonts w:ascii="Arial" w:hAnsi="宋体" w:cs="Arial"/>
          <w:sz w:val="24"/>
        </w:rPr>
        <w:t>付款方式:</w:t>
      </w:r>
    </w:p>
    <w:p>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3.2.1</w:t>
      </w:r>
      <w:r>
        <w:rPr>
          <w:rFonts w:hint="eastAsia" w:ascii="Arial" w:hAnsi="宋体" w:cs="Arial"/>
          <w:sz w:val="24"/>
        </w:rPr>
        <w:t xml:space="preserve"> 合同签订生效后，预付合同总额的3</w:t>
      </w:r>
      <w:r>
        <w:rPr>
          <w:rFonts w:ascii="Arial" w:hAnsi="宋体" w:cs="Arial"/>
          <w:sz w:val="24"/>
        </w:rPr>
        <w:t>0%</w:t>
      </w:r>
      <w:r>
        <w:rPr>
          <w:rFonts w:hint="eastAsia" w:ascii="Arial" w:hAnsi="宋体" w:cs="Arial"/>
          <w:sz w:val="24"/>
        </w:rPr>
        <w:t>；</w:t>
      </w:r>
    </w:p>
    <w:p>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 xml:space="preserve">3.2.2 </w:t>
      </w:r>
      <w:r>
        <w:rPr>
          <w:rFonts w:hint="eastAsia" w:ascii="Arial" w:hAnsi="宋体" w:cs="Arial"/>
          <w:sz w:val="24"/>
        </w:rPr>
        <w:t>项目通过中期评审后支付合同总额的3</w:t>
      </w:r>
      <w:r>
        <w:rPr>
          <w:rFonts w:ascii="Arial" w:hAnsi="宋体" w:cs="Arial"/>
          <w:sz w:val="24"/>
        </w:rPr>
        <w:t>0%</w:t>
      </w:r>
      <w:r>
        <w:rPr>
          <w:rFonts w:hint="eastAsia" w:ascii="Arial" w:hAnsi="宋体" w:cs="Arial"/>
          <w:sz w:val="24"/>
        </w:rPr>
        <w:t>；</w:t>
      </w:r>
    </w:p>
    <w:p>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3.2.3</w:t>
      </w:r>
      <w:r>
        <w:rPr>
          <w:rFonts w:hint="eastAsia" w:ascii="Arial" w:hAnsi="宋体" w:cs="Arial"/>
          <w:sz w:val="24"/>
        </w:rPr>
        <w:t xml:space="preserve"> 项目通过最终验收后付合同总额的4</w:t>
      </w:r>
      <w:r>
        <w:rPr>
          <w:rFonts w:ascii="Arial" w:hAnsi="宋体" w:cs="Arial"/>
          <w:sz w:val="24"/>
        </w:rPr>
        <w:t>0%</w:t>
      </w:r>
      <w:r>
        <w:rPr>
          <w:rFonts w:hint="eastAsia" w:ascii="Arial" w:hAnsi="宋体" w:cs="Arial"/>
          <w:sz w:val="24"/>
        </w:rPr>
        <w:t>。</w:t>
      </w:r>
    </w:p>
    <w:p>
      <w:pPr>
        <w:tabs>
          <w:tab w:val="left" w:pos="360"/>
        </w:tabs>
        <w:spacing w:line="360" w:lineRule="auto"/>
        <w:rPr>
          <w:rFonts w:ascii="宋体" w:hAnsi="宋体"/>
          <w:bCs/>
          <w:sz w:val="24"/>
        </w:rPr>
      </w:pPr>
      <w:r>
        <w:rPr>
          <w:sz w:val="24"/>
        </w:rPr>
        <w:t>4.</w:t>
      </w:r>
      <w:r>
        <w:rPr>
          <w:rFonts w:ascii="宋体" w:hAnsi="宋体"/>
          <w:sz w:val="24"/>
        </w:rPr>
        <w:t xml:space="preserve"> 报价方式：</w:t>
      </w:r>
      <w:r>
        <w:rPr>
          <w:rFonts w:hint="eastAsia" w:ascii="宋体" w:hAnsi="宋体" w:cs="宋体"/>
          <w:bCs/>
          <w:kern w:val="0"/>
          <w:sz w:val="24"/>
        </w:rPr>
        <w:t>招标方现场价</w:t>
      </w:r>
      <w:r>
        <w:rPr>
          <w:rFonts w:ascii="宋体" w:hAnsi="宋体"/>
          <w:bCs/>
          <w:sz w:val="24"/>
        </w:rPr>
        <w:t>(包括一切税费，</w:t>
      </w:r>
      <w:r>
        <w:rPr>
          <w:rFonts w:hint="eastAsia" w:ascii="宋体" w:hAnsi="宋体"/>
          <w:bCs/>
          <w:sz w:val="24"/>
        </w:rPr>
        <w:t>材料费和外协费等</w:t>
      </w:r>
      <w:r>
        <w:rPr>
          <w:rFonts w:ascii="宋体" w:hAnsi="宋体"/>
          <w:bCs/>
          <w:sz w:val="24"/>
        </w:rPr>
        <w:t>)</w:t>
      </w:r>
    </w:p>
    <w:p>
      <w:pPr>
        <w:tabs>
          <w:tab w:val="left" w:pos="360"/>
        </w:tabs>
        <w:spacing w:line="360" w:lineRule="auto"/>
        <w:rPr>
          <w:sz w:val="24"/>
        </w:rPr>
      </w:pPr>
      <w:r>
        <w:rPr>
          <w:sz w:val="24"/>
        </w:rPr>
        <w:t xml:space="preserve">5. </w:t>
      </w:r>
      <w:r>
        <w:rPr>
          <w:rFonts w:hint="eastAsia"/>
          <w:sz w:val="24"/>
        </w:rPr>
        <w:t>招标方：中国航发航空科技股份有限公司</w:t>
      </w:r>
    </w:p>
    <w:p>
      <w:pPr>
        <w:tabs>
          <w:tab w:val="left" w:pos="360"/>
        </w:tabs>
        <w:spacing w:line="360" w:lineRule="auto"/>
        <w:rPr>
          <w:sz w:val="24"/>
        </w:rPr>
      </w:pPr>
      <w:r>
        <w:rPr>
          <w:sz w:val="24"/>
        </w:rPr>
        <w:t>6.</w:t>
      </w:r>
      <w:r>
        <w:rPr>
          <w:rFonts w:hint="eastAsia"/>
          <w:sz w:val="24"/>
        </w:rPr>
        <w:t xml:space="preserve"> 验收地点：</w:t>
      </w:r>
      <w:r>
        <w:rPr>
          <w:rFonts w:hint="eastAsia" w:ascii="宋体" w:hAnsi="宋体"/>
          <w:bCs/>
          <w:sz w:val="24"/>
        </w:rPr>
        <w:t>四川省成都市新都区蜀龙大道南段成发工业园。</w:t>
      </w:r>
    </w:p>
    <w:p>
      <w:pPr>
        <w:tabs>
          <w:tab w:val="left" w:pos="360"/>
        </w:tabs>
        <w:spacing w:line="360" w:lineRule="auto"/>
        <w:rPr>
          <w:rFonts w:ascii="宋体" w:hAnsi="宋体" w:cs="宋体"/>
          <w:kern w:val="0"/>
          <w:sz w:val="24"/>
        </w:rPr>
      </w:pPr>
      <w:r>
        <w:rPr>
          <w:sz w:val="24"/>
        </w:rPr>
        <w:t>7.</w:t>
      </w:r>
      <w:r>
        <w:rPr>
          <w:rFonts w:hint="eastAsia"/>
          <w:sz w:val="24"/>
        </w:rPr>
        <w:t xml:space="preserve"> </w:t>
      </w:r>
      <w:r>
        <w:rPr>
          <w:rFonts w:hint="eastAsia" w:ascii="宋体" w:hAnsi="宋体" w:cs="宋体"/>
          <w:kern w:val="0"/>
          <w:sz w:val="24"/>
        </w:rPr>
        <w:t>项目技术要求：</w:t>
      </w:r>
    </w:p>
    <w:p>
      <w:pPr>
        <w:tabs>
          <w:tab w:val="left" w:pos="360"/>
        </w:tabs>
        <w:spacing w:line="360" w:lineRule="auto"/>
        <w:rPr>
          <w:rFonts w:ascii="宋体" w:hAnsi="宋体"/>
          <w:sz w:val="24"/>
        </w:rPr>
      </w:pPr>
      <w:r>
        <w:rPr>
          <w:rFonts w:hint="eastAsia" w:ascii="宋体" w:hAnsi="宋体"/>
          <w:sz w:val="24"/>
        </w:rPr>
        <w:t xml:space="preserve">    详见第三部分</w:t>
      </w:r>
    </w:p>
    <w:p>
      <w:pPr>
        <w:tabs>
          <w:tab w:val="left" w:pos="360"/>
        </w:tabs>
        <w:spacing w:line="360" w:lineRule="auto"/>
        <w:rPr>
          <w:sz w:val="24"/>
        </w:rPr>
      </w:pPr>
      <w:bookmarkStart w:id="0" w:name="_Toc271909893"/>
      <w:bookmarkStart w:id="1" w:name="_Toc257218680"/>
      <w:r>
        <w:rPr>
          <w:sz w:val="24"/>
        </w:rPr>
        <w:t>8</w:t>
      </w:r>
      <w:r>
        <w:rPr>
          <w:rFonts w:hint="eastAsia"/>
          <w:sz w:val="24"/>
        </w:rPr>
        <w:t>. 询比价文件</w:t>
      </w:r>
      <w:r>
        <w:rPr>
          <w:sz w:val="24"/>
        </w:rPr>
        <w:t>的获取</w:t>
      </w:r>
      <w:bookmarkEnd w:id="0"/>
      <w:bookmarkEnd w:id="1"/>
      <w:r>
        <w:rPr>
          <w:rFonts w:hint="eastAsia"/>
          <w:sz w:val="24"/>
        </w:rPr>
        <w:t>：从中国航发航空科技股份有限公司官网获取询比价文件。</w:t>
      </w:r>
      <w:r>
        <w:rPr>
          <w:sz w:val="24"/>
        </w:rPr>
        <w:t xml:space="preserve"> </w:t>
      </w:r>
    </w:p>
    <w:p>
      <w:pPr>
        <w:tabs>
          <w:tab w:val="left" w:pos="360"/>
        </w:tabs>
        <w:spacing w:line="360" w:lineRule="auto"/>
        <w:rPr>
          <w:sz w:val="24"/>
        </w:rPr>
      </w:pPr>
      <w:r>
        <w:rPr>
          <w:rFonts w:hint="eastAsia"/>
          <w:sz w:val="24"/>
        </w:rPr>
        <w:t>9</w:t>
      </w:r>
      <w:r>
        <w:rPr>
          <w:sz w:val="24"/>
        </w:rPr>
        <w:t>.</w:t>
      </w:r>
      <w:r>
        <w:rPr>
          <w:rFonts w:hint="eastAsia"/>
          <w:sz w:val="24"/>
        </w:rPr>
        <w:t xml:space="preserve"> 招标文件</w:t>
      </w:r>
      <w:r>
        <w:rPr>
          <w:sz w:val="24"/>
        </w:rPr>
        <w:t xml:space="preserve">的递交：递交截止时间与询比价报价截止时间相同。 </w:t>
      </w:r>
      <w:r>
        <w:rPr>
          <w:sz w:val="24"/>
        </w:rPr>
        <w:br w:type="textWrapping"/>
      </w:r>
      <w:r>
        <w:rPr>
          <w:sz w:val="24"/>
        </w:rPr>
        <w:t>1</w:t>
      </w:r>
      <w:r>
        <w:rPr>
          <w:rFonts w:hint="eastAsia"/>
          <w:sz w:val="24"/>
        </w:rPr>
        <w:t>0</w:t>
      </w:r>
      <w:r>
        <w:rPr>
          <w:sz w:val="24"/>
        </w:rPr>
        <w:t xml:space="preserve">. </w:t>
      </w:r>
      <w:r>
        <w:rPr>
          <w:rFonts w:hint="eastAsia"/>
          <w:sz w:val="24"/>
        </w:rPr>
        <w:t>招标文件</w:t>
      </w:r>
      <w:r>
        <w:rPr>
          <w:sz w:val="24"/>
        </w:rPr>
        <w:t>递交地点：</w:t>
      </w:r>
      <w:r>
        <w:rPr>
          <w:rFonts w:hint="eastAsia"/>
          <w:sz w:val="24"/>
        </w:rPr>
        <w:t>四川省成都市新都区蜀龙大道南段成发工业园。</w:t>
      </w:r>
      <w:r>
        <w:rPr>
          <w:sz w:val="24"/>
        </w:rPr>
        <w:br w:type="textWrapping"/>
      </w:r>
      <w:r>
        <w:rPr>
          <w:sz w:val="24"/>
        </w:rPr>
        <w:t>1</w:t>
      </w:r>
      <w:r>
        <w:rPr>
          <w:rFonts w:hint="eastAsia"/>
          <w:sz w:val="24"/>
        </w:rPr>
        <w:t>1</w:t>
      </w:r>
      <w:r>
        <w:rPr>
          <w:sz w:val="24"/>
        </w:rPr>
        <w:t>. 询比价地点：</w:t>
      </w:r>
      <w:r>
        <w:rPr>
          <w:rFonts w:hint="eastAsia"/>
          <w:sz w:val="24"/>
        </w:rPr>
        <w:t>四川省成都市新都区蜀龙大道南段成发工业园。</w:t>
      </w:r>
    </w:p>
    <w:p>
      <w:pPr>
        <w:pStyle w:val="2"/>
        <w:numPr>
          <w:ilvl w:val="0"/>
          <w:numId w:val="0"/>
        </w:numPr>
        <w:ind w:left="480"/>
        <w:jc w:val="center"/>
      </w:pPr>
      <w:r>
        <w:rPr>
          <w:rFonts w:ascii="黑体" w:hAnsi="宋体" w:eastAsia="黑体"/>
          <w:sz w:val="32"/>
        </w:rPr>
        <w:br w:type="page"/>
      </w:r>
      <w:r>
        <w:rPr>
          <w:rFonts w:hint="eastAsia"/>
        </w:rPr>
        <w:t>第二部分总体要求</w:t>
      </w:r>
    </w:p>
    <w:p>
      <w:pPr>
        <w:spacing w:line="480" w:lineRule="exact"/>
        <w:rPr>
          <w:rFonts w:ascii="宋体" w:hAnsi="宋体"/>
          <w:sz w:val="24"/>
        </w:rPr>
      </w:pPr>
      <w:r>
        <w:rPr>
          <w:rFonts w:hint="eastAsia" w:ascii="宋体" w:hAnsi="宋体"/>
          <w:sz w:val="24"/>
        </w:rPr>
        <w:t>一</w:t>
      </w:r>
      <w:r>
        <w:rPr>
          <w:rFonts w:ascii="宋体" w:hAnsi="宋体"/>
          <w:sz w:val="24"/>
        </w:rPr>
        <w:t xml:space="preserve">. </w:t>
      </w:r>
      <w:r>
        <w:rPr>
          <w:rFonts w:hint="eastAsia" w:ascii="宋体" w:hAnsi="宋体"/>
          <w:sz w:val="24"/>
        </w:rPr>
        <w:t>要求：</w:t>
      </w:r>
    </w:p>
    <w:p>
      <w:pPr>
        <w:numPr>
          <w:ilvl w:val="0"/>
          <w:numId w:val="4"/>
        </w:numPr>
        <w:spacing w:line="480" w:lineRule="exact"/>
        <w:ind w:hanging="245"/>
        <w:rPr>
          <w:rFonts w:ascii="宋体" w:hAnsi="宋体"/>
          <w:sz w:val="24"/>
        </w:rPr>
      </w:pPr>
      <w:r>
        <w:rPr>
          <w:rFonts w:hint="eastAsia" w:ascii="宋体" w:hAnsi="宋体"/>
          <w:sz w:val="24"/>
        </w:rPr>
        <w:t>按照项目概况和技术要求询比价。</w:t>
      </w:r>
    </w:p>
    <w:p>
      <w:pPr>
        <w:numPr>
          <w:ilvl w:val="0"/>
          <w:numId w:val="4"/>
        </w:numPr>
        <w:spacing w:line="480" w:lineRule="exact"/>
        <w:ind w:hanging="245"/>
        <w:rPr>
          <w:rFonts w:ascii="宋体" w:hAnsi="宋体"/>
          <w:sz w:val="24"/>
        </w:rPr>
      </w:pPr>
      <w:r>
        <w:rPr>
          <w:rFonts w:hint="eastAsia" w:ascii="宋体" w:hAnsi="宋体"/>
          <w:sz w:val="24"/>
        </w:rPr>
        <w:t>询比价项目参与人须承认投标文件的合理与合法性，遵守本次询比价的程序和要求，履行投标</w:t>
      </w:r>
    </w:p>
    <w:p>
      <w:pPr>
        <w:spacing w:line="480" w:lineRule="exact"/>
        <w:ind w:left="420"/>
        <w:rPr>
          <w:rFonts w:ascii="宋体" w:hAnsi="宋体"/>
          <w:sz w:val="24"/>
        </w:rPr>
      </w:pPr>
      <w:r>
        <w:rPr>
          <w:rFonts w:hint="eastAsia" w:ascii="宋体" w:hAnsi="宋体"/>
          <w:sz w:val="24"/>
        </w:rPr>
        <w:t>文件中询比价项目参与人的各项义务。</w:t>
      </w:r>
    </w:p>
    <w:p>
      <w:pPr>
        <w:numPr>
          <w:ilvl w:val="0"/>
          <w:numId w:val="4"/>
        </w:numPr>
        <w:spacing w:line="480" w:lineRule="exact"/>
        <w:ind w:hanging="245"/>
        <w:rPr>
          <w:rFonts w:ascii="宋体" w:hAnsi="宋体"/>
          <w:sz w:val="24"/>
        </w:rPr>
      </w:pPr>
      <w:r>
        <w:rPr>
          <w:rFonts w:hint="eastAsia"/>
          <w:sz w:val="24"/>
        </w:rPr>
        <w:t>潜在</w:t>
      </w:r>
      <w:r>
        <w:rPr>
          <w:rFonts w:hint="eastAsia" w:ascii="宋体" w:hAnsi="宋体"/>
          <w:sz w:val="24"/>
        </w:rPr>
        <w:t>询比价项目参与人</w:t>
      </w:r>
      <w:r>
        <w:rPr>
          <w:rFonts w:hint="eastAsia"/>
          <w:sz w:val="24"/>
        </w:rPr>
        <w:t>或者其他利害关系人对</w:t>
      </w:r>
      <w:r>
        <w:rPr>
          <w:rFonts w:hint="eastAsia" w:ascii="宋体" w:hAnsi="宋体"/>
          <w:sz w:val="24"/>
        </w:rPr>
        <w:t>投标文件</w:t>
      </w:r>
      <w:r>
        <w:rPr>
          <w:rFonts w:hint="eastAsia"/>
          <w:sz w:val="24"/>
        </w:rPr>
        <w:t>有异议的，应当在</w:t>
      </w:r>
      <w:r>
        <w:rPr>
          <w:rFonts w:hint="eastAsia" w:ascii="宋体" w:hAnsi="宋体"/>
          <w:sz w:val="24"/>
        </w:rPr>
        <w:t>询比价截止时间</w:t>
      </w:r>
      <w:r>
        <w:rPr>
          <w:rFonts w:hint="eastAsia"/>
          <w:sz w:val="24"/>
        </w:rPr>
        <w:t>2日前</w:t>
      </w:r>
      <w:r>
        <w:rPr>
          <w:rFonts w:hint="eastAsia" w:ascii="宋体" w:hAnsi="宋体"/>
          <w:color w:val="000000" w:themeColor="text1"/>
          <w:sz w:val="24"/>
          <w14:textFill>
            <w14:solidFill>
              <w14:schemeClr w14:val="tx1"/>
            </w14:solidFill>
          </w14:textFill>
        </w:rPr>
        <w:t>通过向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直接送达或发传真（加盖公章）的方式</w:t>
      </w:r>
      <w:r>
        <w:rPr>
          <w:rFonts w:hint="eastAsia"/>
          <w:sz w:val="24"/>
        </w:rPr>
        <w:t>正式提出，</w:t>
      </w:r>
      <w:r>
        <w:rPr>
          <w:rFonts w:hint="eastAsia" w:ascii="宋体" w:hAnsi="宋体"/>
          <w:color w:val="000000" w:themeColor="text1"/>
          <w:sz w:val="24"/>
          <w14:textFill>
            <w14:solidFill>
              <w14:schemeClr w14:val="tx1"/>
            </w14:solidFill>
          </w14:textFill>
        </w:rPr>
        <w:t>对此时间之后</w:t>
      </w:r>
      <w:r>
        <w:rPr>
          <w:rFonts w:hint="eastAsia" w:ascii="宋体" w:hAnsi="宋体"/>
          <w:sz w:val="24"/>
        </w:rPr>
        <w:t>询比价申请人</w:t>
      </w:r>
      <w:r>
        <w:rPr>
          <w:rFonts w:hint="eastAsia" w:ascii="宋体" w:hAnsi="宋体"/>
          <w:color w:val="000000" w:themeColor="text1"/>
          <w:sz w:val="24"/>
          <w14:textFill>
            <w14:solidFill>
              <w14:schemeClr w14:val="tx1"/>
            </w14:solidFill>
          </w14:textFill>
        </w:rPr>
        <w:t>提出的质疑，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有权不予接收且不承担回复的义务。</w:t>
      </w:r>
      <w:r>
        <w:rPr>
          <w:rFonts w:hint="eastAsia"/>
          <w:sz w:val="24"/>
        </w:rPr>
        <w:t>如未正式提出则视同认可本投标文件相关条款要求。</w:t>
      </w:r>
    </w:p>
    <w:p>
      <w:pPr>
        <w:numPr>
          <w:ilvl w:val="0"/>
          <w:numId w:val="4"/>
        </w:numPr>
        <w:spacing w:line="480" w:lineRule="exact"/>
        <w:ind w:hanging="2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本项目实行在</w:t>
      </w:r>
      <w:r>
        <w:rPr>
          <w:rFonts w:hint="eastAsia" w:ascii="宋体" w:hAnsi="宋体"/>
          <w:sz w:val="24"/>
        </w:rPr>
        <w:t>招标方现场询比价</w:t>
      </w:r>
      <w:r>
        <w:rPr>
          <w:rFonts w:hint="eastAsia" w:ascii="宋体" w:hAnsi="宋体"/>
          <w:color w:val="000000" w:themeColor="text1"/>
          <w:sz w:val="24"/>
          <w14:textFill>
            <w14:solidFill>
              <w14:schemeClr w14:val="tx1"/>
            </w14:solidFill>
          </w14:textFill>
        </w:rPr>
        <w:t>。唱标结束后，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对响应文件进行评审。评审结束后，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所有成员集中与有效投标人分别进行</w:t>
      </w:r>
      <w:r>
        <w:rPr>
          <w:rFonts w:hint="eastAsia" w:ascii="宋体" w:hAnsi="宋体"/>
          <w:sz w:val="24"/>
        </w:rPr>
        <w:t>询比价</w:t>
      </w:r>
      <w:r>
        <w:rPr>
          <w:rFonts w:hint="eastAsia" w:ascii="宋体" w:hAnsi="宋体"/>
          <w:color w:val="000000" w:themeColor="text1"/>
          <w:sz w:val="24"/>
          <w14:textFill>
            <w14:solidFill>
              <w14:schemeClr w14:val="tx1"/>
            </w14:solidFill>
          </w14:textFill>
        </w:rPr>
        <w:t>，确定最终价格。（若待推荐的中选单位最终报价超过投资计划，可对待推荐的中选单位进行再次谈价）</w:t>
      </w:r>
    </w:p>
    <w:p>
      <w:pPr>
        <w:numPr>
          <w:ilvl w:val="0"/>
          <w:numId w:val="4"/>
        </w:numPr>
        <w:tabs>
          <w:tab w:val="left" w:pos="540"/>
        </w:tabs>
        <w:spacing w:line="420" w:lineRule="exact"/>
        <w:ind w:hanging="240"/>
        <w:rPr>
          <w:rFonts w:ascii="宋体" w:hAnsi="宋体"/>
          <w:sz w:val="24"/>
        </w:rPr>
      </w:pPr>
      <w:r>
        <w:rPr>
          <w:rFonts w:hint="eastAsia" w:ascii="宋体" w:hAnsi="宋体"/>
          <w:sz w:val="24"/>
        </w:rPr>
        <w:t>投标文件</w:t>
      </w:r>
      <w:r>
        <w:rPr>
          <w:rFonts w:hint="eastAsia" w:ascii="宋体" w:hAnsi="宋体"/>
          <w:kern w:val="10"/>
          <w:sz w:val="24"/>
        </w:rPr>
        <w:t>正本一份，副本三份，每份投标文件上要明确注明“正本”或“副本”字样。</w:t>
      </w:r>
      <w:r>
        <w:rPr>
          <w:rFonts w:hint="eastAsia" w:ascii="宋体" w:hAnsi="宋体"/>
          <w:sz w:val="24"/>
        </w:rPr>
        <w:t>投标文件</w:t>
      </w:r>
      <w:r>
        <w:rPr>
          <w:rFonts w:hint="eastAsia" w:ascii="宋体" w:hAnsi="宋体"/>
          <w:kern w:val="10"/>
          <w:sz w:val="24"/>
        </w:rPr>
        <w:t>应包含下述文件：</w:t>
      </w:r>
    </w:p>
    <w:tbl>
      <w:tblPr>
        <w:tblStyle w:val="28"/>
        <w:tblW w:w="9099" w:type="dxa"/>
        <w:tblInd w:w="5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20"/>
        <w:gridCol w:w="8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83"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pPr>
            <w:r>
              <w:rPr>
                <w:rFonts w:hint="eastAsia"/>
              </w:rPr>
              <w:t>序号</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pPr>
            <w:r>
              <w:rPr>
                <w:rFonts w:hint="eastAsia"/>
              </w:rPr>
              <w:t>投标文件内容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0"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spacing w:val="10"/>
              </w:rPr>
              <w:t>1</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rPr>
              <w:t>询比价书</w:t>
            </w:r>
            <w:r>
              <w:rPr>
                <w:spacing w:val="10"/>
              </w:rPr>
              <w:t>(</w:t>
            </w:r>
            <w:r>
              <w:rPr>
                <w:rFonts w:hint="eastAsia"/>
                <w:spacing w:val="10"/>
              </w:rPr>
              <w:t>第四</w:t>
            </w:r>
            <w:r>
              <w:rPr>
                <w:rFonts w:hint="eastAsia"/>
              </w:rPr>
              <w:t>部分</w:t>
            </w:r>
            <w:r>
              <w:rPr>
                <w:rFonts w:hint="eastAsia"/>
                <w:spacing w:val="10"/>
              </w:rPr>
              <w:t>附件</w:t>
            </w:r>
            <w:r>
              <w:rPr>
                <w:spacing w:val="10"/>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开标一览表</w:t>
            </w:r>
            <w:r>
              <w:rPr>
                <w:spacing w:val="10"/>
              </w:rPr>
              <w:t>(</w:t>
            </w:r>
            <w:r>
              <w:rPr>
                <w:rFonts w:hint="eastAsia"/>
                <w:spacing w:val="10"/>
              </w:rPr>
              <w:t>第四</w:t>
            </w:r>
            <w:r>
              <w:rPr>
                <w:rFonts w:hint="eastAsia"/>
              </w:rPr>
              <w:t>部分</w:t>
            </w:r>
            <w:r>
              <w:rPr>
                <w:rFonts w:hint="eastAsia"/>
                <w:spacing w:val="10"/>
              </w:rPr>
              <w:t>附件</w:t>
            </w:r>
            <w:r>
              <w:rPr>
                <w:spacing w:val="10"/>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3</w:t>
            </w:r>
          </w:p>
        </w:tc>
        <w:tc>
          <w:tcPr>
            <w:tcW w:w="8379" w:type="dxa"/>
            <w:tcBorders>
              <w:top w:val="single" w:color="auto" w:sz="4" w:space="0"/>
              <w:left w:val="single" w:color="auto" w:sz="4" w:space="0"/>
              <w:bottom w:val="single" w:color="auto" w:sz="4" w:space="0"/>
              <w:right w:val="single" w:color="auto" w:sz="4" w:space="0"/>
            </w:tcBorders>
            <w:vAlign w:val="center"/>
          </w:tcPr>
          <w:p>
            <w:pPr>
              <w:widowControl/>
              <w:rPr>
                <w:spacing w:val="10"/>
              </w:rPr>
            </w:pPr>
            <w:r>
              <w:rPr>
                <w:spacing w:val="10"/>
              </w:rPr>
              <w:t>项目简表</w:t>
            </w:r>
            <w:r>
              <w:rPr>
                <w:rFonts w:hint="eastAsia"/>
                <w:spacing w:val="10"/>
              </w:rPr>
              <w:t>(第四部分附件3)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4</w:t>
            </w:r>
          </w:p>
        </w:tc>
        <w:tc>
          <w:tcPr>
            <w:tcW w:w="8379" w:type="dxa"/>
            <w:tcBorders>
              <w:top w:val="single" w:color="auto" w:sz="4" w:space="0"/>
              <w:left w:val="single" w:color="auto" w:sz="4" w:space="0"/>
              <w:bottom w:val="single" w:color="auto" w:sz="4" w:space="0"/>
              <w:right w:val="single" w:color="auto" w:sz="4" w:space="0"/>
            </w:tcBorders>
            <w:vAlign w:val="center"/>
          </w:tcPr>
          <w:p>
            <w:pPr>
              <w:widowControl/>
              <w:rPr>
                <w:spacing w:val="10"/>
              </w:rPr>
            </w:pPr>
            <w:r>
              <w:rPr>
                <w:spacing w:val="10"/>
              </w:rPr>
              <w:t>报价表</w:t>
            </w:r>
            <w:r>
              <w:rPr>
                <w:rFonts w:hint="eastAsia"/>
                <w:spacing w:val="10"/>
              </w:rPr>
              <w:t xml:space="preserve"> (第四部分附件4)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5</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中国航发航空科技股份有限公司项目报价说明书（第四部分附件5）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6</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项目简要说明一览表</w:t>
            </w:r>
            <w:r>
              <w:rPr>
                <w:spacing w:val="10"/>
              </w:rPr>
              <w:t>(</w:t>
            </w:r>
            <w:r>
              <w:rPr>
                <w:rFonts w:hint="eastAsia"/>
                <w:spacing w:val="10"/>
              </w:rPr>
              <w:t>第四</w:t>
            </w:r>
            <w:r>
              <w:rPr>
                <w:rFonts w:hint="eastAsia"/>
              </w:rPr>
              <w:t>部分</w:t>
            </w:r>
            <w:r>
              <w:rPr>
                <w:rFonts w:hint="eastAsia"/>
                <w:spacing w:val="10"/>
              </w:rPr>
              <w:t>附件6</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55"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7</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rPr>
              <w:t>商务条款偏离表</w:t>
            </w:r>
            <w:r>
              <w:rPr>
                <w:spacing w:val="10"/>
              </w:rPr>
              <w:t>(</w:t>
            </w:r>
            <w:r>
              <w:rPr>
                <w:rFonts w:hint="eastAsia"/>
                <w:spacing w:val="10"/>
              </w:rPr>
              <w:t>第四</w:t>
            </w:r>
            <w:r>
              <w:rPr>
                <w:rFonts w:hint="eastAsia"/>
              </w:rPr>
              <w:t>部分</w:t>
            </w:r>
            <w:r>
              <w:rPr>
                <w:rFonts w:hint="eastAsia"/>
                <w:spacing w:val="10"/>
              </w:rPr>
              <w:t>附件7</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8</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技术规格偏离表</w:t>
            </w:r>
            <w:r>
              <w:t>(</w:t>
            </w:r>
            <w:r>
              <w:rPr>
                <w:rFonts w:hint="eastAsia"/>
              </w:rPr>
              <w:t>第四部分附件8</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*9</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中国航发航空科技股份有限公司项目技术研究方案申报书</w:t>
            </w:r>
            <w:r>
              <w:t>(</w:t>
            </w:r>
            <w:r>
              <w:rPr>
                <w:rFonts w:hint="eastAsia"/>
              </w:rPr>
              <w:t>第四部分附件9</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10</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t>法定代表人</w:t>
            </w:r>
            <w:r>
              <w:rPr>
                <w:rFonts w:hint="eastAsia"/>
              </w:rPr>
              <w:t>授权证书</w:t>
            </w:r>
            <w:r>
              <w:t>(</w:t>
            </w:r>
            <w:r>
              <w:rPr>
                <w:rFonts w:hint="eastAsia"/>
              </w:rPr>
              <w:t>第四部分附件10-1</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11</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询比价项目参与人的单位简介、经营状况</w:t>
            </w:r>
            <w:r>
              <w:t xml:space="preserve"> (</w:t>
            </w:r>
            <w:r>
              <w:rPr>
                <w:rFonts w:hint="eastAsia"/>
              </w:rPr>
              <w:t>第四部分附件10-2</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6"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w:t>
            </w:r>
            <w:r>
              <w:rPr>
                <w:spacing w:val="10"/>
              </w:rPr>
              <w:t>1</w:t>
            </w:r>
            <w:r>
              <w:rPr>
                <w:rFonts w:hint="eastAsia"/>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询比价项目参与人授权代表身份证复印件</w:t>
            </w:r>
            <w:r>
              <w:t>(</w:t>
            </w:r>
            <w:r>
              <w:rPr>
                <w:rFonts w:hint="eastAsia"/>
              </w:rPr>
              <w:t>第四部分附件11</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13</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加盖询比价项目参与人公章的询比价项目参与人营业执照副本复印件。</w:t>
            </w:r>
            <w:r>
              <w:t>(</w:t>
            </w:r>
            <w:r>
              <w:rPr>
                <w:rFonts w:hint="eastAsia"/>
              </w:rPr>
              <w:t>第四部分附件12</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30"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*14</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与询比价项目及服务有关的业绩表</w:t>
            </w:r>
            <w:r>
              <w:t>(</w:t>
            </w:r>
            <w:r>
              <w:rPr>
                <w:rFonts w:hint="eastAsia"/>
              </w:rPr>
              <w:t>第四部分附件13</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15</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售后服务情况</w:t>
            </w:r>
            <w:r>
              <w:rPr>
                <w:spacing w:val="10"/>
              </w:rPr>
              <w:t>(</w:t>
            </w:r>
            <w:r>
              <w:rPr>
                <w:rFonts w:hint="eastAsia"/>
                <w:spacing w:val="10"/>
              </w:rPr>
              <w:t>第四</w:t>
            </w:r>
            <w:r>
              <w:rPr>
                <w:rFonts w:hint="eastAsia"/>
              </w:rPr>
              <w:t>部分</w:t>
            </w:r>
            <w:r>
              <w:rPr>
                <w:rFonts w:hint="eastAsia"/>
                <w:spacing w:val="10"/>
              </w:rPr>
              <w:t>附件14</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16</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其它需要说明的情况</w:t>
            </w:r>
            <w:r>
              <w:rPr>
                <w:spacing w:val="10"/>
              </w:rPr>
              <w:t>(</w:t>
            </w:r>
            <w:r>
              <w:rPr>
                <w:rFonts w:hint="eastAsia"/>
                <w:spacing w:val="10"/>
              </w:rPr>
              <w:t>第四</w:t>
            </w:r>
            <w:r>
              <w:rPr>
                <w:rFonts w:hint="eastAsia"/>
              </w:rPr>
              <w:t>部分</w:t>
            </w:r>
            <w:r>
              <w:rPr>
                <w:rFonts w:hint="eastAsia"/>
                <w:spacing w:val="10"/>
              </w:rPr>
              <w:t>附件15</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*17</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rFonts w:ascii="宋体" w:hAnsi="宋体"/>
              </w:rPr>
            </w:pPr>
            <w:r>
              <w:rPr>
                <w:rFonts w:hint="eastAsia" w:ascii="宋体" w:hAnsi="宋体"/>
              </w:rPr>
              <w:t>有下列情况之一者投标文件无效：</w:t>
            </w:r>
          </w:p>
          <w:p>
            <w:pPr>
              <w:spacing w:line="320" w:lineRule="atLeast"/>
              <w:rPr>
                <w:rFonts w:ascii="宋体" w:hAnsi="宋体"/>
              </w:rPr>
            </w:pPr>
            <w:r>
              <w:rPr>
                <w:rFonts w:hint="eastAsia" w:ascii="宋体" w:hAnsi="宋体"/>
              </w:rPr>
              <w:t>16.1商务上</w:t>
            </w:r>
            <w:r>
              <w:rPr>
                <w:rFonts w:ascii="宋体" w:hAnsi="宋体"/>
              </w:rPr>
              <w:t>有下列情况之一者</w:t>
            </w:r>
            <w:r>
              <w:rPr>
                <w:rFonts w:hint="eastAsia" w:ascii="宋体" w:hAnsi="宋体"/>
              </w:rPr>
              <w:t>:</w:t>
            </w:r>
          </w:p>
          <w:p>
            <w:pPr>
              <w:numPr>
                <w:ilvl w:val="0"/>
                <w:numId w:val="5"/>
              </w:numPr>
              <w:spacing w:line="320" w:lineRule="atLeast"/>
              <w:rPr>
                <w:rFonts w:ascii="宋体" w:hAnsi="宋体"/>
                <w:spacing w:val="10"/>
              </w:rPr>
            </w:pPr>
            <w:r>
              <w:rPr>
                <w:rFonts w:ascii="宋体" w:hAnsi="宋体"/>
              </w:rPr>
              <w:t>询比价项目参与人的投标文件、资格证明未提供或不符合</w:t>
            </w:r>
            <w:r>
              <w:rPr>
                <w:rFonts w:hint="eastAsia" w:ascii="宋体" w:hAnsi="宋体"/>
              </w:rPr>
              <w:t>询比价文件</w:t>
            </w:r>
            <w:r>
              <w:rPr>
                <w:rFonts w:ascii="宋体" w:hAnsi="宋体"/>
              </w:rPr>
              <w:t>要求的；</w:t>
            </w:r>
          </w:p>
          <w:p>
            <w:pPr>
              <w:numPr>
                <w:ilvl w:val="0"/>
                <w:numId w:val="5"/>
              </w:numPr>
              <w:spacing w:line="320" w:lineRule="atLeast"/>
              <w:rPr>
                <w:rFonts w:ascii="宋体" w:hAnsi="宋体"/>
                <w:spacing w:val="10"/>
              </w:rPr>
            </w:pPr>
            <w:r>
              <w:rPr>
                <w:rFonts w:ascii="宋体" w:hAnsi="宋体"/>
              </w:rPr>
              <w:t>投标文件无法定代表人签字，或签字人无法定代表人有效授权书的；</w:t>
            </w:r>
          </w:p>
          <w:p>
            <w:pPr>
              <w:spacing w:line="320" w:lineRule="atLeast"/>
              <w:rPr>
                <w:rFonts w:ascii="宋体" w:hAnsi="宋体"/>
              </w:rPr>
            </w:pPr>
            <w:r>
              <w:rPr>
                <w:rFonts w:hint="eastAsia" w:ascii="宋体" w:hAnsi="宋体"/>
              </w:rPr>
              <w:t>16.2</w:t>
            </w:r>
            <w:r>
              <w:rPr>
                <w:rFonts w:ascii="宋体" w:hAnsi="宋体"/>
              </w:rPr>
              <w:t>有下列情况之一者</w:t>
            </w:r>
            <w:r>
              <w:rPr>
                <w:rFonts w:hint="eastAsia" w:ascii="宋体" w:hAnsi="宋体"/>
              </w:rPr>
              <w:t>:</w:t>
            </w:r>
          </w:p>
          <w:p>
            <w:pPr>
              <w:numPr>
                <w:ilvl w:val="0"/>
                <w:numId w:val="6"/>
              </w:numPr>
              <w:spacing w:line="320" w:lineRule="atLeast"/>
              <w:rPr>
                <w:rFonts w:ascii="宋体" w:hAnsi="宋体"/>
              </w:rPr>
            </w:pPr>
            <w:r>
              <w:rPr>
                <w:rFonts w:hint="eastAsia" w:ascii="宋体" w:hAnsi="宋体"/>
              </w:rPr>
              <w:t>投标文件未按规定密封者；</w:t>
            </w:r>
          </w:p>
          <w:p>
            <w:pPr>
              <w:numPr>
                <w:ilvl w:val="0"/>
                <w:numId w:val="6"/>
              </w:numPr>
              <w:spacing w:line="320" w:lineRule="atLeast"/>
              <w:rPr>
                <w:rFonts w:ascii="宋体" w:hAnsi="宋体"/>
                <w:spacing w:val="10"/>
              </w:rPr>
            </w:pPr>
            <w:r>
              <w:rPr>
                <w:rFonts w:hint="eastAsia" w:ascii="宋体" w:hAnsi="宋体"/>
              </w:rPr>
              <w:t>投标文件未按“第四部分文件要求”的内容和格式编制，或内容不全、字迹模糊难以辨认者；</w:t>
            </w:r>
          </w:p>
          <w:p>
            <w:pPr>
              <w:numPr>
                <w:ilvl w:val="0"/>
                <w:numId w:val="6"/>
              </w:numPr>
              <w:spacing w:line="320" w:lineRule="atLeast"/>
              <w:rPr>
                <w:rFonts w:ascii="宋体" w:hAnsi="宋体"/>
                <w:spacing w:val="10"/>
              </w:rPr>
            </w:pPr>
            <w:r>
              <w:rPr>
                <w:rFonts w:hint="eastAsia" w:ascii="宋体" w:hAnsi="宋体"/>
              </w:rPr>
              <w:t>投标文件逾期未送达者；</w:t>
            </w:r>
          </w:p>
        </w:tc>
      </w:tr>
    </w:tbl>
    <w:p>
      <w:pPr>
        <w:spacing w:line="420" w:lineRule="exact"/>
        <w:ind w:left="420"/>
        <w:rPr>
          <w:rFonts w:ascii="宋体" w:hAnsi="宋体"/>
          <w:sz w:val="24"/>
        </w:rPr>
      </w:pPr>
    </w:p>
    <w:p>
      <w:pPr>
        <w:numPr>
          <w:ilvl w:val="0"/>
          <w:numId w:val="4"/>
        </w:numPr>
        <w:spacing w:line="480" w:lineRule="exact"/>
        <w:ind w:hanging="245"/>
        <w:rPr>
          <w:rFonts w:ascii="宋体" w:hAnsi="宋体"/>
          <w:sz w:val="24"/>
        </w:rPr>
      </w:pPr>
      <w:r>
        <w:rPr>
          <w:rFonts w:hint="eastAsia" w:ascii="宋体" w:hAnsi="宋体"/>
          <w:sz w:val="24"/>
        </w:rPr>
        <w:t>投标文件的密封和标记</w:t>
      </w:r>
    </w:p>
    <w:p>
      <w:pPr>
        <w:spacing w:line="480" w:lineRule="exact"/>
        <w:ind w:firstLine="600" w:firstLineChars="250"/>
        <w:rPr>
          <w:rFonts w:ascii="宋体" w:hAnsi="宋体"/>
          <w:sz w:val="24"/>
        </w:rPr>
      </w:pPr>
      <w:r>
        <w:rPr>
          <w:rFonts w:hint="eastAsia" w:ascii="宋体" w:hAnsi="宋体"/>
          <w:sz w:val="24"/>
        </w:rPr>
        <w:t>询比价项目参与人应将投标文件正本和副本袋内密封，并在密封处加盖有效印章或授权委托人签字。</w:t>
      </w:r>
    </w:p>
    <w:p>
      <w:pPr>
        <w:numPr>
          <w:ilvl w:val="0"/>
          <w:numId w:val="4"/>
        </w:numPr>
        <w:spacing w:line="480" w:lineRule="exact"/>
        <w:ind w:hanging="245"/>
        <w:rPr>
          <w:rFonts w:ascii="宋体" w:hAnsi="宋体"/>
          <w:sz w:val="24"/>
        </w:rPr>
      </w:pPr>
      <w:r>
        <w:rPr>
          <w:rFonts w:hint="eastAsia" w:ascii="宋体" w:hAnsi="宋体"/>
          <w:sz w:val="24"/>
        </w:rPr>
        <w:t>投标文件必须胶装并标注页码，正本规定的盖章处为鲜章，副本可以是正本的复印件。</w:t>
      </w:r>
    </w:p>
    <w:p>
      <w:pPr>
        <w:numPr>
          <w:ilvl w:val="0"/>
          <w:numId w:val="4"/>
        </w:numPr>
        <w:spacing w:line="480" w:lineRule="exact"/>
        <w:ind w:hanging="245"/>
        <w:rPr>
          <w:rFonts w:ascii="宋体" w:hAnsi="宋体"/>
          <w:sz w:val="24"/>
        </w:rPr>
      </w:pPr>
      <w:r>
        <w:rPr>
          <w:rFonts w:hint="eastAsia" w:ascii="宋体" w:hAnsi="宋体"/>
          <w:sz w:val="24"/>
        </w:rPr>
        <w:t>招标方</w:t>
      </w:r>
      <w:r>
        <w:rPr>
          <w:rFonts w:ascii="宋体" w:hAnsi="宋体"/>
          <w:sz w:val="24"/>
        </w:rPr>
        <w:t>在任何时候发现询比价项目参与人提供虚假资料的，有权</w:t>
      </w:r>
      <w:r>
        <w:rPr>
          <w:rFonts w:hint="eastAsia" w:ascii="宋体" w:hAnsi="宋体"/>
          <w:sz w:val="24"/>
        </w:rPr>
        <w:t>对询比价项目参与人进行废标、解除合同，并可</w:t>
      </w:r>
      <w:r>
        <w:rPr>
          <w:rFonts w:ascii="宋体" w:hAnsi="宋体"/>
          <w:sz w:val="24"/>
        </w:rPr>
        <w:t>依法追究询比价项目参与人的责任。</w:t>
      </w:r>
    </w:p>
    <w:p>
      <w:pPr>
        <w:numPr>
          <w:ilvl w:val="0"/>
          <w:numId w:val="4"/>
        </w:numPr>
        <w:spacing w:line="480" w:lineRule="exact"/>
        <w:ind w:hanging="245"/>
        <w:rPr>
          <w:rFonts w:ascii="宋体" w:hAnsi="宋体"/>
          <w:sz w:val="24"/>
        </w:rPr>
      </w:pPr>
      <w:r>
        <w:rPr>
          <w:rFonts w:hint="eastAsia" w:ascii="宋体" w:hAnsi="宋体"/>
          <w:sz w:val="24"/>
        </w:rPr>
        <w:t>投标文件按投标文件内容中要求的文件顺序装订，为按顺序装订视为未响应。</w:t>
      </w:r>
    </w:p>
    <w:p>
      <w:pPr>
        <w:spacing w:line="480" w:lineRule="exact"/>
        <w:jc w:val="left"/>
        <w:rPr>
          <w:rFonts w:ascii="宋体" w:hAnsi="宋体"/>
          <w:sz w:val="24"/>
        </w:rPr>
      </w:pPr>
      <w:r>
        <w:rPr>
          <w:rFonts w:hint="eastAsia" w:ascii="宋体" w:hAnsi="宋体"/>
          <w:sz w:val="24"/>
        </w:rPr>
        <w:t>二．询比价资格文件</w:t>
      </w:r>
    </w:p>
    <w:p>
      <w:pPr>
        <w:spacing w:line="480" w:lineRule="exact"/>
        <w:ind w:left="422" w:leftChars="201" w:firstLine="425"/>
        <w:jc w:val="left"/>
        <w:rPr>
          <w:rFonts w:ascii="宋体" w:hAnsi="宋体"/>
          <w:sz w:val="24"/>
        </w:rPr>
      </w:pPr>
      <w:r>
        <w:rPr>
          <w:rFonts w:hint="eastAsia" w:ascii="宋体" w:hAnsi="宋体"/>
          <w:sz w:val="24"/>
        </w:rPr>
        <w:t>询比价项目参与人</w:t>
      </w:r>
      <w:r>
        <w:rPr>
          <w:rFonts w:hint="eastAsia"/>
          <w:sz w:val="24"/>
        </w:rPr>
        <w:t>必须提交证明其有资格进行</w:t>
      </w:r>
      <w:r>
        <w:rPr>
          <w:rFonts w:hint="eastAsia" w:ascii="宋体" w:hAnsi="宋体"/>
          <w:sz w:val="24"/>
        </w:rPr>
        <w:t>询比价</w:t>
      </w:r>
      <w:r>
        <w:rPr>
          <w:rFonts w:hint="eastAsia"/>
          <w:sz w:val="24"/>
        </w:rPr>
        <w:t>和有能力履行合同的文件，作为</w:t>
      </w:r>
      <w:r>
        <w:rPr>
          <w:rFonts w:hint="eastAsia" w:ascii="宋体" w:hAnsi="宋体"/>
          <w:sz w:val="24"/>
        </w:rPr>
        <w:t>投标文件</w:t>
      </w:r>
      <w:r>
        <w:rPr>
          <w:rFonts w:hint="eastAsia"/>
          <w:sz w:val="24"/>
        </w:rPr>
        <w:t>的一部分，并对下面要求做出响应：</w:t>
      </w:r>
    </w:p>
    <w:p>
      <w:pPr>
        <w:numPr>
          <w:ilvl w:val="0"/>
          <w:numId w:val="7"/>
        </w:numPr>
        <w:spacing w:line="480" w:lineRule="exact"/>
        <w:jc w:val="left"/>
        <w:rPr>
          <w:rFonts w:ascii="宋体" w:hAnsi="宋体"/>
          <w:sz w:val="24"/>
        </w:rPr>
      </w:pPr>
      <w:r>
        <w:rPr>
          <w:rFonts w:hint="eastAsia" w:ascii="宋体" w:hAnsi="宋体"/>
          <w:sz w:val="24"/>
        </w:rPr>
        <w:t>询比价项目参与人的单位简介、经营状况等；</w:t>
      </w:r>
    </w:p>
    <w:p>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询比价项目参与人的营业执照或事业单位法人证书；</w:t>
      </w:r>
    </w:p>
    <w:p>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询比价项目参与人的法定代表人授权书原件；</w:t>
      </w:r>
    </w:p>
    <w:p>
      <w:pPr>
        <w:numPr>
          <w:ilvl w:val="0"/>
          <w:numId w:val="7"/>
        </w:numPr>
        <w:spacing w:line="480" w:lineRule="exact"/>
        <w:jc w:val="left"/>
        <w:rPr>
          <w:rFonts w:ascii="宋体" w:hAnsi="宋体"/>
          <w:sz w:val="24"/>
        </w:rPr>
      </w:pPr>
      <w:r>
        <w:rPr>
          <w:rFonts w:hint="eastAsia" w:ascii="宋体" w:hAnsi="宋体"/>
          <w:sz w:val="24"/>
        </w:rPr>
        <w:t>询比价项目参与人业绩证明材料（近三年来与招标内容相关性的课题或合同，及课题或合同验收证明）；</w:t>
      </w:r>
    </w:p>
    <w:p>
      <w:pPr>
        <w:numPr>
          <w:ilvl w:val="0"/>
          <w:numId w:val="7"/>
        </w:numPr>
        <w:spacing w:line="480" w:lineRule="exact"/>
        <w:jc w:val="left"/>
        <w:rPr>
          <w:rFonts w:ascii="宋体" w:hAnsi="宋体"/>
          <w:sz w:val="24"/>
        </w:rPr>
      </w:pPr>
      <w:r>
        <w:rPr>
          <w:rFonts w:hint="eastAsia" w:ascii="宋体" w:hAnsi="宋体"/>
          <w:sz w:val="24"/>
        </w:rPr>
        <w:t>询比价项目参与人质量保证体系（若询比价项目参与方为高校，可不提供）；</w:t>
      </w:r>
    </w:p>
    <w:p>
      <w:pPr>
        <w:numPr>
          <w:ilvl w:val="0"/>
          <w:numId w:val="7"/>
        </w:numPr>
        <w:spacing w:line="480" w:lineRule="exact"/>
        <w:jc w:val="left"/>
        <w:rPr>
          <w:rFonts w:ascii="宋体" w:hAnsi="宋体"/>
          <w:sz w:val="24"/>
        </w:rPr>
      </w:pPr>
      <w:r>
        <w:rPr>
          <w:rFonts w:hint="eastAsia" w:ascii="宋体" w:hAnsi="宋体"/>
          <w:sz w:val="24"/>
        </w:rPr>
        <w:t>询比价项目参与人应有履行投标文件中合同条款和技术要求规定的由投标方履行的技术服务的能力；</w:t>
      </w:r>
    </w:p>
    <w:p>
      <w:pPr>
        <w:numPr>
          <w:ilvl w:val="0"/>
          <w:numId w:val="7"/>
        </w:numPr>
        <w:spacing w:line="480" w:lineRule="exact"/>
        <w:jc w:val="left"/>
        <w:rPr>
          <w:rFonts w:ascii="宋体" w:hAnsi="宋体"/>
          <w:sz w:val="24"/>
        </w:rPr>
      </w:pPr>
      <w:r>
        <w:rPr>
          <w:rFonts w:hint="eastAsia" w:ascii="宋体" w:hAnsi="宋体"/>
          <w:sz w:val="24"/>
        </w:rPr>
        <w:t>询比价项目技术研究方案等技术资料；</w:t>
      </w:r>
    </w:p>
    <w:p>
      <w:pPr>
        <w:numPr>
          <w:ilvl w:val="0"/>
          <w:numId w:val="7"/>
        </w:numPr>
        <w:spacing w:line="480" w:lineRule="exact"/>
        <w:jc w:val="left"/>
        <w:rPr>
          <w:rFonts w:ascii="宋体" w:hAnsi="宋体"/>
          <w:sz w:val="24"/>
        </w:rPr>
      </w:pPr>
      <w:r>
        <w:rPr>
          <w:rFonts w:hint="eastAsia" w:ascii="宋体" w:hAnsi="宋体"/>
          <w:sz w:val="24"/>
        </w:rPr>
        <w:t>如询比价项目参与人不是招标方合格供应商，参与询比价项目后中标，招标方需在签订合同之前对询比价项目参与人进行公司合格供应商录入审核，审核通过后方可签订合同；若审核未通过，招标方有权取消询比价项目参与人的中标结果，不予签订合同。</w:t>
      </w:r>
    </w:p>
    <w:p>
      <w:pPr>
        <w:spacing w:line="480" w:lineRule="exact"/>
        <w:rPr>
          <w:sz w:val="24"/>
        </w:rPr>
      </w:pPr>
      <w:r>
        <w:rPr>
          <w:rFonts w:hint="eastAsia"/>
          <w:sz w:val="24"/>
        </w:rPr>
        <w:t>三</w:t>
      </w:r>
      <w:r>
        <w:rPr>
          <w:rFonts w:hint="eastAsia" w:ascii="宋体" w:hAnsi="宋体"/>
          <w:sz w:val="24"/>
        </w:rPr>
        <w:t>．</w:t>
      </w:r>
      <w:r>
        <w:rPr>
          <w:rFonts w:hint="eastAsia"/>
          <w:sz w:val="24"/>
        </w:rPr>
        <w:t>询比价</w:t>
      </w:r>
    </w:p>
    <w:p>
      <w:pPr>
        <w:spacing w:line="480" w:lineRule="exact"/>
        <w:rPr>
          <w:sz w:val="24"/>
        </w:rPr>
      </w:pPr>
      <w:r>
        <w:rPr>
          <w:rFonts w:hint="eastAsia"/>
          <w:sz w:val="24"/>
        </w:rPr>
        <w:t xml:space="preserve">     a. 招标方在询比价规定的时间和地点公开询比价，询比价项目参与人派代表参加。</w:t>
      </w:r>
    </w:p>
    <w:p>
      <w:pPr>
        <w:spacing w:line="480" w:lineRule="exact"/>
        <w:rPr>
          <w:sz w:val="24"/>
        </w:rPr>
      </w:pPr>
      <w:r>
        <w:rPr>
          <w:rFonts w:hint="eastAsia"/>
          <w:sz w:val="24"/>
        </w:rPr>
        <w:t xml:space="preserve">     b. 询比价时，查验投标文件密封情况，确认无误后拆封唱标，唱正本“开标一览表”内容，以及招标方认为合适的其它内容并记录。</w:t>
      </w:r>
    </w:p>
    <w:p>
      <w:pPr>
        <w:spacing w:line="480" w:lineRule="exact"/>
        <w:rPr>
          <w:sz w:val="24"/>
        </w:rPr>
      </w:pPr>
      <w:r>
        <w:rPr>
          <w:rFonts w:hint="eastAsia"/>
          <w:sz w:val="24"/>
        </w:rPr>
        <w:t xml:space="preserve">     c. 招标方将根据询比价采购项目的特点组建询比价小组，询比价小组对投标文件进行审查、质疑评估和比较。</w:t>
      </w:r>
    </w:p>
    <w:p>
      <w:pPr>
        <w:spacing w:line="480" w:lineRule="exact"/>
        <w:rPr>
          <w:rFonts w:ascii="宋体" w:hAnsi="宋体"/>
          <w:sz w:val="24"/>
        </w:rPr>
      </w:pPr>
      <w:r>
        <w:rPr>
          <w:rFonts w:hint="eastAsia" w:ascii="宋体" w:hAnsi="宋体"/>
          <w:sz w:val="24"/>
        </w:rPr>
        <w:t>四．评标和定标</w:t>
      </w:r>
    </w:p>
    <w:p>
      <w:pPr>
        <w:spacing w:line="480" w:lineRule="exact"/>
        <w:ind w:left="236"/>
        <w:rPr>
          <w:rFonts w:ascii="宋体" w:hAnsi="宋体"/>
          <w:sz w:val="24"/>
        </w:rPr>
      </w:pPr>
      <w:r>
        <w:rPr>
          <w:rFonts w:hint="eastAsia" w:ascii="宋体" w:hAnsi="宋体"/>
          <w:sz w:val="24"/>
        </w:rPr>
        <w:t>1. 公平、公正、科学、择优；</w:t>
      </w:r>
    </w:p>
    <w:p>
      <w:pPr>
        <w:spacing w:line="480" w:lineRule="exact"/>
        <w:ind w:firstLine="240" w:firstLineChars="100"/>
        <w:rPr>
          <w:rFonts w:ascii="宋体" w:hAnsi="宋体"/>
          <w:sz w:val="24"/>
        </w:rPr>
      </w:pPr>
      <w:r>
        <w:rPr>
          <w:rFonts w:hint="eastAsia" w:ascii="宋体" w:hAnsi="宋体"/>
          <w:sz w:val="24"/>
        </w:rPr>
        <w:t>2. 评标小组将对投标文件进行综合评定；</w:t>
      </w:r>
    </w:p>
    <w:p>
      <w:pPr>
        <w:tabs>
          <w:tab w:val="left" w:pos="1440"/>
        </w:tabs>
        <w:spacing w:line="480" w:lineRule="exact"/>
        <w:ind w:left="719" w:leftChars="114" w:hanging="480" w:hangingChars="200"/>
        <w:rPr>
          <w:rFonts w:ascii="宋体" w:hAnsi="宋体"/>
          <w:color w:val="FF0000"/>
          <w:sz w:val="24"/>
        </w:rPr>
      </w:pPr>
      <w:r>
        <w:rPr>
          <w:rFonts w:hint="eastAsia" w:ascii="宋体" w:hAnsi="宋体"/>
          <w:sz w:val="24"/>
        </w:rPr>
        <w:t xml:space="preserve"> (1) 投标文件中带“*”的指标为重要指标，超过1项（含1项）不满足或未响应，为废标；其他非“*”号技术指标超过3项（含3项）不满足或未响应，为废标；非“*”号商务指标超过3项（含3项）不满足或未响应，为废标；技术指标和商务指标一共超过4项（含4项）不满足或未响应，为废标。</w:t>
      </w:r>
    </w:p>
    <w:p>
      <w:pPr>
        <w:tabs>
          <w:tab w:val="left" w:pos="1440"/>
        </w:tabs>
        <w:spacing w:line="480" w:lineRule="exact"/>
        <w:ind w:left="719" w:leftChars="114" w:hanging="480" w:hangingChars="200"/>
        <w:rPr>
          <w:rFonts w:ascii="宋体" w:hAnsi="宋体"/>
          <w:sz w:val="24"/>
        </w:rPr>
      </w:pPr>
      <w:r>
        <w:rPr>
          <w:rFonts w:hint="eastAsia" w:ascii="宋体" w:hAnsi="宋体"/>
          <w:sz w:val="24"/>
        </w:rPr>
        <w:t xml:space="preserve"> (2) </w:t>
      </w:r>
      <w:r>
        <w:rPr>
          <w:rFonts w:hint="eastAsia"/>
          <w:sz w:val="24"/>
        </w:rPr>
        <w:t>除非询比价文件中另有规定，只允许询比价项目参与人有一个询比价方案，否则，其投标将被拒绝。如果投标文件中规定允许有备选方案，询比价项目参与人必须说明主选方案，询比价时仅对主选方案评议。如果询比价项目参与人未说明主选方案，其询比价将被拒绝。</w:t>
      </w:r>
    </w:p>
    <w:p>
      <w:pPr>
        <w:spacing w:line="480" w:lineRule="exact"/>
        <w:ind w:left="719" w:leftChars="114" w:hanging="480" w:hangingChars="200"/>
        <w:rPr>
          <w:rFonts w:ascii="宋体" w:hAnsi="宋体"/>
          <w:sz w:val="24"/>
        </w:rPr>
      </w:pPr>
      <w:r>
        <w:rPr>
          <w:rFonts w:hint="eastAsia" w:ascii="宋体" w:hAnsi="宋体"/>
          <w:sz w:val="24"/>
        </w:rPr>
        <w:t xml:space="preserve">(3) </w:t>
      </w:r>
      <w:r>
        <w:rPr>
          <w:rFonts w:hint="eastAsia"/>
          <w:sz w:val="24"/>
        </w:rPr>
        <w:t>按询比价文件技术部分要求应随机配置的内容应计入询比价总价的项目，其报价均应计入询比价总价。若有漏报或未按要求报价的项目，评标时将有效投标中该项内容的最高价计入其评标总价。而询比价项目参与人不能针对其缺漏项增加询比价总价，否则将导致废标。</w:t>
      </w:r>
    </w:p>
    <w:p>
      <w:pPr>
        <w:spacing w:line="480" w:lineRule="exact"/>
        <w:ind w:left="719" w:leftChars="114" w:hanging="480" w:hangingChars="200"/>
        <w:rPr>
          <w:rFonts w:ascii="宋体" w:hAnsi="宋体"/>
          <w:sz w:val="24"/>
        </w:rPr>
      </w:pPr>
      <w:r>
        <w:rPr>
          <w:rFonts w:hint="eastAsia" w:ascii="宋体" w:hAnsi="宋体"/>
          <w:sz w:val="24"/>
        </w:rPr>
        <w:t xml:space="preserve">(4) </w:t>
      </w:r>
      <w:r>
        <w:rPr>
          <w:rFonts w:hint="eastAsia"/>
          <w:sz w:val="24"/>
        </w:rPr>
        <w:t>询比价项目参与人在投标文件的询比价总价中不得包含询比价文件要求以外的项目，否则在评标时不予核减。</w:t>
      </w:r>
    </w:p>
    <w:p>
      <w:pPr>
        <w:spacing w:line="480" w:lineRule="exact"/>
        <w:ind w:left="236"/>
        <w:rPr>
          <w:rFonts w:ascii="宋体" w:hAnsi="宋体"/>
          <w:sz w:val="24"/>
        </w:rPr>
      </w:pPr>
      <w:r>
        <w:rPr>
          <w:rFonts w:hint="eastAsia" w:ascii="宋体" w:hAnsi="宋体"/>
          <w:sz w:val="24"/>
        </w:rPr>
        <w:t>3.</w:t>
      </w:r>
      <w:r>
        <w:rPr>
          <w:rFonts w:hint="eastAsia"/>
          <w:sz w:val="24"/>
        </w:rPr>
        <w:t>询比价办法</w:t>
      </w:r>
      <w:r>
        <w:rPr>
          <w:rFonts w:hint="eastAsia" w:ascii="宋体" w:hAnsi="宋体"/>
          <w:sz w:val="24"/>
        </w:rPr>
        <w:t>（综合评估法）：</w:t>
      </w:r>
    </w:p>
    <w:p>
      <w:pPr>
        <w:spacing w:line="480" w:lineRule="exact"/>
        <w:ind w:left="120" w:leftChars="57" w:firstLine="480" w:firstLineChars="200"/>
        <w:rPr>
          <w:sz w:val="24"/>
        </w:rPr>
      </w:pPr>
      <w:r>
        <w:rPr>
          <w:rFonts w:hint="eastAsia"/>
          <w:sz w:val="24"/>
        </w:rPr>
        <w:t>形式评审标准要求：询比价项目参与人名称应与营业执照或事业单位法人证书、资质证书一致；投标文件签字应有有法定代表人（单位负责人）或其委托代理人签字或加盖单位公章，由法定代表人（单位负责人）签字的，应附法定代表人（单位负责人）身份证明，由代理人签字的，应附授权委托书等。</w:t>
      </w:r>
    </w:p>
    <w:p>
      <w:pPr>
        <w:spacing w:line="480" w:lineRule="exact"/>
        <w:ind w:left="120" w:leftChars="57" w:firstLine="480" w:firstLineChars="200"/>
        <w:rPr>
          <w:sz w:val="24"/>
        </w:rPr>
      </w:pPr>
      <w:r>
        <w:rPr>
          <w:rFonts w:hint="eastAsia"/>
          <w:sz w:val="24"/>
        </w:rPr>
        <w:t>资格评审要求：营业执照或事业单位法人证书和组织机构代码证、资质、财务、业绩等应符合询比价资格文件要求。</w:t>
      </w:r>
    </w:p>
    <w:p>
      <w:pPr>
        <w:spacing w:line="480" w:lineRule="exact"/>
        <w:ind w:left="120" w:leftChars="57" w:firstLine="480" w:firstLineChars="200"/>
        <w:rPr>
          <w:sz w:val="24"/>
        </w:rPr>
      </w:pPr>
      <w:r>
        <w:rPr>
          <w:sz w:val="24"/>
        </w:rPr>
        <w:t>本次</w:t>
      </w:r>
      <w:r>
        <w:rPr>
          <w:rFonts w:hint="eastAsia"/>
          <w:sz w:val="24"/>
        </w:rPr>
        <w:t>询比价采用综合评估法，投标文件应符合形式评审标准要求和资格评审要求，询比价小组</w:t>
      </w:r>
      <w:r>
        <w:rPr>
          <w:sz w:val="24"/>
        </w:rPr>
        <w:t>对</w:t>
      </w:r>
      <w:r>
        <w:rPr>
          <w:rFonts w:hint="eastAsia"/>
          <w:sz w:val="24"/>
        </w:rPr>
        <w:t>投标文件</w:t>
      </w:r>
      <w:r>
        <w:rPr>
          <w:sz w:val="24"/>
        </w:rPr>
        <w:t>按照规定的评分标准</w:t>
      </w:r>
      <w:r>
        <w:rPr>
          <w:rFonts w:hint="eastAsia"/>
          <w:sz w:val="24"/>
        </w:rPr>
        <w:t>（见下表）</w:t>
      </w:r>
      <w:r>
        <w:rPr>
          <w:sz w:val="24"/>
        </w:rPr>
        <w:t>进行打分，并按得分由高到低顺序推荐</w:t>
      </w:r>
      <w:r>
        <w:rPr>
          <w:rFonts w:hint="eastAsia"/>
          <w:sz w:val="24"/>
        </w:rPr>
        <w:t>确定</w:t>
      </w:r>
      <w:r>
        <w:rPr>
          <w:sz w:val="24"/>
        </w:rPr>
        <w:t>候选人。</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
        <w:gridCol w:w="1109"/>
        <w:gridCol w:w="2722"/>
        <w:gridCol w:w="4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restart"/>
            <w:vAlign w:val="center"/>
          </w:tcPr>
          <w:p>
            <w:pPr>
              <w:jc w:val="center"/>
            </w:pPr>
            <w:r>
              <w:rPr>
                <w:rFonts w:hint="eastAsia"/>
              </w:rPr>
              <w:t>条款号</w:t>
            </w:r>
          </w:p>
        </w:tc>
        <w:tc>
          <w:tcPr>
            <w:tcW w:w="3382" w:type="dxa"/>
            <w:vMerge w:val="restart"/>
            <w:vAlign w:val="center"/>
          </w:tcPr>
          <w:p>
            <w:pPr>
              <w:jc w:val="center"/>
            </w:pPr>
            <w:r>
              <w:rPr>
                <w:rFonts w:hint="eastAsia"/>
              </w:rPr>
              <w:t>评分因素（偏差率）</w:t>
            </w:r>
          </w:p>
        </w:tc>
        <w:tc>
          <w:tcPr>
            <w:tcW w:w="5244" w:type="dxa"/>
            <w:vMerge w:val="restart"/>
            <w:vAlign w:val="center"/>
          </w:tcPr>
          <w:p>
            <w:pPr>
              <w:jc w:val="center"/>
            </w:pPr>
            <w:r>
              <w:rPr>
                <w:rFonts w:hint="eastAsi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continue"/>
          </w:tcPr>
          <w:p/>
        </w:tc>
        <w:tc>
          <w:tcPr>
            <w:tcW w:w="3382" w:type="dxa"/>
            <w:vMerge w:val="continue"/>
          </w:tcPr>
          <w:p/>
        </w:tc>
        <w:tc>
          <w:tcPr>
            <w:tcW w:w="5244"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pPr>
              <w:jc w:val="center"/>
            </w:pPr>
            <w:r>
              <w:rPr>
                <w:rFonts w:hint="eastAsia"/>
              </w:rPr>
              <w:t>1</w:t>
            </w:r>
          </w:p>
        </w:tc>
        <w:tc>
          <w:tcPr>
            <w:tcW w:w="1259" w:type="dxa"/>
            <w:vMerge w:val="restart"/>
          </w:tcPr>
          <w:p>
            <w:pPr>
              <w:jc w:val="center"/>
            </w:pPr>
            <w:r>
              <w:rPr>
                <w:rFonts w:hint="eastAsia"/>
              </w:rPr>
              <w:t>商</w:t>
            </w:r>
          </w:p>
          <w:p>
            <w:pPr>
              <w:jc w:val="center"/>
            </w:pPr>
            <w:r>
              <w:rPr>
                <w:rFonts w:hint="eastAsia"/>
              </w:rPr>
              <w:t>务</w:t>
            </w:r>
          </w:p>
          <w:p>
            <w:pPr>
              <w:jc w:val="center"/>
            </w:pPr>
            <w:r>
              <w:rPr>
                <w:rFonts w:hint="eastAsia"/>
              </w:rPr>
              <w:t>评</w:t>
            </w:r>
          </w:p>
          <w:p>
            <w:pPr>
              <w:jc w:val="center"/>
            </w:pPr>
            <w:r>
              <w:rPr>
                <w:rFonts w:hint="eastAsia"/>
              </w:rPr>
              <w:t>分</w:t>
            </w:r>
          </w:p>
          <w:p>
            <w:pPr>
              <w:jc w:val="center"/>
            </w:pPr>
            <w:r>
              <w:rPr>
                <w:rFonts w:hint="eastAsia"/>
              </w:rPr>
              <w:t>标</w:t>
            </w:r>
          </w:p>
          <w:p>
            <w:pPr>
              <w:jc w:val="center"/>
            </w:pPr>
            <w:r>
              <w:rPr>
                <w:rFonts w:hint="eastAsia"/>
              </w:rPr>
              <w:t>准</w:t>
            </w:r>
          </w:p>
          <w:p>
            <w:pPr>
              <w:jc w:val="center"/>
            </w:pPr>
            <w:r>
              <w:rPr>
                <w:rFonts w:hint="eastAsia"/>
              </w:rPr>
              <w:t>（10分）</w:t>
            </w:r>
          </w:p>
        </w:tc>
        <w:tc>
          <w:tcPr>
            <w:tcW w:w="3382" w:type="dxa"/>
            <w:vAlign w:val="center"/>
          </w:tcPr>
          <w:p>
            <w:r>
              <w:rPr>
                <w:rFonts w:hint="eastAsia"/>
              </w:rPr>
              <w:t>对询比价项目参与人经济状况的评价（3分）</w:t>
            </w:r>
          </w:p>
        </w:tc>
        <w:tc>
          <w:tcPr>
            <w:tcW w:w="5244" w:type="dxa"/>
            <w:vAlign w:val="center"/>
          </w:tcPr>
          <w:p>
            <w:r>
              <w:rPr>
                <w:rFonts w:hint="eastAsia"/>
              </w:rPr>
              <w:t>根据询比价项目参与人所提供的招标文件进行考核，酌情打分。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pPr>
              <w:jc w:val="center"/>
            </w:pPr>
          </w:p>
        </w:tc>
        <w:tc>
          <w:tcPr>
            <w:tcW w:w="3382" w:type="dxa"/>
            <w:vAlign w:val="center"/>
          </w:tcPr>
          <w:p>
            <w:r>
              <w:rPr>
                <w:rFonts w:hint="eastAsia"/>
              </w:rPr>
              <w:t>对询比价项目参与人信誉度的评价（2分）</w:t>
            </w:r>
          </w:p>
        </w:tc>
        <w:tc>
          <w:tcPr>
            <w:tcW w:w="5244" w:type="dxa"/>
            <w:vAlign w:val="center"/>
          </w:tcPr>
          <w:p>
            <w:r>
              <w:rPr>
                <w:rFonts w:hint="eastAsia"/>
              </w:rPr>
              <w:t>根据询比价项目参与人所提供的招标文件进行考核，酌情打分。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pPr>
              <w:jc w:val="center"/>
            </w:pPr>
          </w:p>
        </w:tc>
        <w:tc>
          <w:tcPr>
            <w:tcW w:w="3382" w:type="dxa"/>
            <w:vAlign w:val="center"/>
          </w:tcPr>
          <w:p>
            <w:r>
              <w:rPr>
                <w:rFonts w:hint="eastAsia"/>
              </w:rPr>
              <w:t>业绩（5分）</w:t>
            </w:r>
          </w:p>
        </w:tc>
        <w:tc>
          <w:tcPr>
            <w:tcW w:w="5244" w:type="dxa"/>
            <w:vAlign w:val="center"/>
          </w:tcPr>
          <w:p>
            <w:r>
              <w:rPr>
                <w:rFonts w:hint="eastAsia"/>
              </w:rPr>
              <w:t>评选小组根据询比价项目参与人以往的合作业绩情况进行排序，如与招标方有相关合作协议的优先排序，排序最高分者得满分，其余依次酌情扣分。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pPr>
              <w:jc w:val="center"/>
            </w:pPr>
            <w:r>
              <w:rPr>
                <w:rFonts w:hint="eastAsia"/>
              </w:rPr>
              <w:t>2</w:t>
            </w:r>
          </w:p>
        </w:tc>
        <w:tc>
          <w:tcPr>
            <w:tcW w:w="1259" w:type="dxa"/>
            <w:vMerge w:val="restart"/>
            <w:vAlign w:val="center"/>
          </w:tcPr>
          <w:p>
            <w:pPr>
              <w:jc w:val="center"/>
            </w:pPr>
            <w:r>
              <w:rPr>
                <w:rFonts w:hint="eastAsia"/>
              </w:rPr>
              <w:t>技</w:t>
            </w:r>
          </w:p>
          <w:p>
            <w:pPr>
              <w:jc w:val="center"/>
            </w:pPr>
            <w:r>
              <w:rPr>
                <w:rFonts w:hint="eastAsia"/>
              </w:rPr>
              <w:t>术</w:t>
            </w:r>
          </w:p>
          <w:p>
            <w:pPr>
              <w:jc w:val="center"/>
            </w:pPr>
            <w:r>
              <w:rPr>
                <w:rFonts w:hint="eastAsia"/>
              </w:rPr>
              <w:t>评</w:t>
            </w:r>
          </w:p>
          <w:p>
            <w:pPr>
              <w:jc w:val="center"/>
            </w:pPr>
            <w:r>
              <w:rPr>
                <w:rFonts w:hint="eastAsia"/>
              </w:rPr>
              <w:t>分</w:t>
            </w:r>
          </w:p>
          <w:p>
            <w:pPr>
              <w:jc w:val="center"/>
            </w:pPr>
            <w:r>
              <w:rPr>
                <w:rFonts w:hint="eastAsia"/>
              </w:rPr>
              <w:t>标</w:t>
            </w:r>
          </w:p>
          <w:p>
            <w:pPr>
              <w:jc w:val="center"/>
            </w:pPr>
            <w:r>
              <w:rPr>
                <w:rFonts w:hint="eastAsia"/>
              </w:rPr>
              <w:t>准</w:t>
            </w:r>
          </w:p>
          <w:p>
            <w:pPr>
              <w:jc w:val="center"/>
            </w:pPr>
            <w:r>
              <w:rPr>
                <w:rFonts w:hint="eastAsia"/>
              </w:rPr>
              <w:t>（55分）</w:t>
            </w:r>
          </w:p>
        </w:tc>
        <w:tc>
          <w:tcPr>
            <w:tcW w:w="3382" w:type="dxa"/>
            <w:vAlign w:val="center"/>
          </w:tcPr>
          <w:p>
            <w:r>
              <w:rPr>
                <w:rFonts w:hint="eastAsia"/>
              </w:rPr>
              <w:t>询比价服务方案技术指标响应程度（30分）</w:t>
            </w:r>
          </w:p>
        </w:tc>
        <w:tc>
          <w:tcPr>
            <w:tcW w:w="5244" w:type="dxa"/>
            <w:vAlign w:val="center"/>
          </w:tcPr>
          <w:p>
            <w:r>
              <w:rPr>
                <w:rFonts w:hint="eastAsia"/>
              </w:rPr>
              <w:t>针对投标文件非*号条款，投标文件中有一项不满足或未响应，扣3分；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7" w:type="dxa"/>
            <w:vMerge w:val="continue"/>
            <w:vAlign w:val="center"/>
          </w:tcPr>
          <w:p>
            <w:pPr>
              <w:jc w:val="center"/>
            </w:pPr>
          </w:p>
        </w:tc>
        <w:tc>
          <w:tcPr>
            <w:tcW w:w="1259" w:type="dxa"/>
            <w:vMerge w:val="continue"/>
            <w:vAlign w:val="center"/>
          </w:tcPr>
          <w:p>
            <w:pPr>
              <w:jc w:val="center"/>
            </w:pPr>
          </w:p>
        </w:tc>
        <w:tc>
          <w:tcPr>
            <w:tcW w:w="3382" w:type="dxa"/>
            <w:vAlign w:val="center"/>
          </w:tcPr>
          <w:p>
            <w:r>
              <w:rPr>
                <w:rFonts w:hint="eastAsia"/>
              </w:rPr>
              <w:t>询比价技术方案汇报（5分）</w:t>
            </w:r>
          </w:p>
        </w:tc>
        <w:tc>
          <w:tcPr>
            <w:tcW w:w="5244" w:type="dxa"/>
            <w:vAlign w:val="center"/>
          </w:tcPr>
          <w:p>
            <w:r>
              <w:rPr>
                <w:rFonts w:hint="eastAsia"/>
              </w:rPr>
              <w:t>根据询比价项目参与人技术方案PPT汇报及答疑情况，酌情打分；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tc>
        <w:tc>
          <w:tcPr>
            <w:tcW w:w="3382" w:type="dxa"/>
            <w:vAlign w:val="center"/>
          </w:tcPr>
          <w:p>
            <w:r>
              <w:rPr>
                <w:rFonts w:hint="eastAsia"/>
              </w:rPr>
              <w:t>对询比价项目参与人技术服务和质保期服务能力的评价（5分）</w:t>
            </w:r>
          </w:p>
        </w:tc>
        <w:tc>
          <w:tcPr>
            <w:tcW w:w="5244" w:type="dxa"/>
            <w:vAlign w:val="center"/>
          </w:tcPr>
          <w:p>
            <w:r>
              <w:rPr>
                <w:rFonts w:hint="eastAsia"/>
              </w:rPr>
              <w:t>根据投标文件响应程度及询比价小组所了解情况考核，酌情打分；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tc>
        <w:tc>
          <w:tcPr>
            <w:tcW w:w="3382" w:type="dxa"/>
            <w:vAlign w:val="center"/>
          </w:tcPr>
          <w:p>
            <w:r>
              <w:rPr>
                <w:rFonts w:hint="eastAsia"/>
              </w:rPr>
              <w:t>对技术方案整体评价，优劣程度比较（15分）</w:t>
            </w:r>
          </w:p>
        </w:tc>
        <w:tc>
          <w:tcPr>
            <w:tcW w:w="5244" w:type="dxa"/>
            <w:vAlign w:val="center"/>
          </w:tcPr>
          <w:p>
            <w:pPr>
              <w:adjustRightInd w:val="0"/>
              <w:snapToGrid w:val="0"/>
            </w:pPr>
            <w:r>
              <w:rPr>
                <w:rFonts w:hint="eastAsia"/>
              </w:rPr>
              <w:t>以技术参数评议为基础，依据询比价及所了解情况，对各询比价项目参与人所投项目的技术方案优劣对照比较评审，评分标准如下：</w:t>
            </w:r>
          </w:p>
          <w:p>
            <w:pPr>
              <w:pStyle w:val="74"/>
              <w:numPr>
                <w:ilvl w:val="0"/>
                <w:numId w:val="8"/>
              </w:numPr>
              <w:adjustRightInd w:val="0"/>
              <w:snapToGrid w:val="0"/>
              <w:ind w:firstLineChars="0"/>
            </w:pPr>
            <w:r>
              <w:rPr>
                <w:rFonts w:hint="eastAsia"/>
              </w:rPr>
              <w:t>研究目标和研究内容完整性：</w:t>
            </w:r>
            <w:r>
              <w:rPr>
                <w:rFonts w:hint="eastAsia" w:asciiTheme="minorEastAsia" w:hAnsiTheme="minorEastAsia"/>
                <w:szCs w:val="21"/>
              </w:rPr>
              <w:t>优等5-4分，较好3-2分，一般1分。</w:t>
            </w:r>
          </w:p>
          <w:p>
            <w:pPr>
              <w:pStyle w:val="74"/>
              <w:numPr>
                <w:ilvl w:val="0"/>
                <w:numId w:val="8"/>
              </w:numPr>
              <w:adjustRightInd w:val="0"/>
              <w:snapToGrid w:val="0"/>
              <w:ind w:firstLineChars="0"/>
            </w:pPr>
            <w:r>
              <w:rPr>
                <w:rFonts w:hint="eastAsia"/>
              </w:rPr>
              <w:t>技术路线和技术创新点合理性：</w:t>
            </w:r>
            <w:r>
              <w:rPr>
                <w:rFonts w:hint="eastAsia" w:asciiTheme="minorEastAsia" w:hAnsiTheme="minorEastAsia"/>
                <w:szCs w:val="21"/>
              </w:rPr>
              <w:t>优等5-4分，较好3-2分，一般1分。</w:t>
            </w:r>
          </w:p>
          <w:p>
            <w:pPr>
              <w:pStyle w:val="74"/>
              <w:numPr>
                <w:ilvl w:val="0"/>
                <w:numId w:val="8"/>
              </w:numPr>
              <w:adjustRightInd w:val="0"/>
              <w:snapToGrid w:val="0"/>
              <w:ind w:firstLineChars="0"/>
            </w:pPr>
            <w:r>
              <w:rPr>
                <w:rFonts w:hint="eastAsia"/>
              </w:rPr>
              <w:t>技术方案可行性：</w:t>
            </w:r>
            <w:r>
              <w:rPr>
                <w:rFonts w:hint="eastAsia" w:asciiTheme="minorEastAsia" w:hAnsiTheme="minorEastAsia"/>
                <w:szCs w:val="21"/>
              </w:rPr>
              <w:t>优等5-4分，较好3-2分，一般1分。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Align w:val="center"/>
          </w:tcPr>
          <w:p>
            <w:pPr>
              <w:jc w:val="center"/>
            </w:pPr>
            <w:r>
              <w:rPr>
                <w:rFonts w:hint="eastAsia"/>
              </w:rPr>
              <w:t>3</w:t>
            </w:r>
          </w:p>
        </w:tc>
        <w:tc>
          <w:tcPr>
            <w:tcW w:w="1259" w:type="dxa"/>
            <w:vAlign w:val="center"/>
          </w:tcPr>
          <w:p>
            <w:pPr>
              <w:jc w:val="center"/>
            </w:pPr>
            <w:r>
              <w:rPr>
                <w:rFonts w:hint="eastAsia"/>
              </w:rPr>
              <w:t>询比价报价（35分）</w:t>
            </w:r>
          </w:p>
        </w:tc>
        <w:tc>
          <w:tcPr>
            <w:tcW w:w="3382" w:type="dxa"/>
            <w:vAlign w:val="center"/>
          </w:tcPr>
          <w:p>
            <w:r>
              <w:rPr>
                <w:rFonts w:hint="eastAsia"/>
              </w:rPr>
              <w:t>询比价报价（35分）</w:t>
            </w:r>
          </w:p>
        </w:tc>
        <w:tc>
          <w:tcPr>
            <w:tcW w:w="5244" w:type="dxa"/>
            <w:vAlign w:val="center"/>
          </w:tcPr>
          <w:p>
            <w:r>
              <w:rPr>
                <w:rFonts w:hint="eastAsia"/>
              </w:rPr>
              <w:t>所有投标报价的算术平均值为基准价，每高于基准价5%扣2分，每低于基准价5%扣1分，不足5%的部分按5%计算，等于基准价为35分。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2" w:type="dxa"/>
            <w:gridSpan w:val="4"/>
          </w:tcPr>
          <w:p>
            <w:pPr>
              <w:jc w:val="center"/>
            </w:pPr>
            <w:r>
              <w:rPr>
                <w:rFonts w:hint="eastAsia"/>
              </w:rPr>
              <w:t>总得分（满分100分）</w:t>
            </w:r>
          </w:p>
        </w:tc>
      </w:tr>
    </w:tbl>
    <w:p>
      <w:pPr>
        <w:spacing w:line="480" w:lineRule="exact"/>
        <w:ind w:firstLine="240" w:firstLineChars="100"/>
        <w:rPr>
          <w:sz w:val="24"/>
        </w:rPr>
      </w:pPr>
      <w:r>
        <w:rPr>
          <w:rFonts w:hint="eastAsia"/>
          <w:sz w:val="24"/>
        </w:rPr>
        <w:t>注：对因形式评审、</w:t>
      </w:r>
      <w:r>
        <w:rPr>
          <w:sz w:val="24"/>
        </w:rPr>
        <w:t>资格评审</w:t>
      </w:r>
      <w:r>
        <w:rPr>
          <w:rFonts w:hint="eastAsia"/>
          <w:sz w:val="24"/>
        </w:rPr>
        <w:t>或技术评审未通过的投标文件作否决处理，不进行打分。</w:t>
      </w:r>
    </w:p>
    <w:p>
      <w:pPr>
        <w:spacing w:line="480" w:lineRule="exact"/>
        <w:ind w:firstLine="240" w:firstLineChars="100"/>
        <w:rPr>
          <w:rFonts w:ascii="宋体" w:hAnsi="宋体"/>
          <w:sz w:val="24"/>
        </w:rPr>
      </w:pPr>
      <w:r>
        <w:rPr>
          <w:rFonts w:hint="eastAsia" w:ascii="宋体" w:hAnsi="宋体"/>
          <w:sz w:val="24"/>
        </w:rPr>
        <w:t>4.在询比价评标过程中，投标方以PPT（演示文稿）的形式向招标方汇报投标技术方案，每家投标方汇报时长不得超过8分钟。每家投标方汇报结束后，由询比价评审小组成员对投标方汇报内容进行质疑和问询，投标方当场进行答疑，问询和答疑时间不得超过12分钟。</w:t>
      </w:r>
    </w:p>
    <w:p>
      <w:pPr>
        <w:spacing w:line="480" w:lineRule="exact"/>
        <w:ind w:firstLine="240" w:firstLineChars="100"/>
        <w:rPr>
          <w:rFonts w:ascii="宋体" w:hAnsi="宋体"/>
          <w:sz w:val="24"/>
        </w:rPr>
      </w:pPr>
      <w:r>
        <w:rPr>
          <w:rFonts w:hint="eastAsia" w:ascii="宋体" w:hAnsi="宋体"/>
          <w:sz w:val="24"/>
        </w:rPr>
        <w:t>5.在询比价过程中，询比价小组对所有投标文件作废标处理的，或者评标小组对一部分投标文件 作废标处理后，使得询比价明显缺乏竞争，决定否决全部投标，招标方有权作流标处理。</w:t>
      </w:r>
    </w:p>
    <w:p>
      <w:pPr>
        <w:spacing w:line="480" w:lineRule="exact"/>
        <w:ind w:firstLine="240" w:firstLineChars="100"/>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中标方在收到《中选通知书》后，按招标方指定的时间、地点与招标方签订合同。</w:t>
      </w:r>
    </w:p>
    <w:p>
      <w:pPr>
        <w:widowControl/>
        <w:jc w:val="both"/>
        <w:rPr>
          <w:rFonts w:ascii="宋体" w:hAnsi="宋体"/>
          <w:sz w:val="24"/>
        </w:rPr>
      </w:pPr>
      <w:r>
        <w:rPr>
          <w:rFonts w:ascii="宋体" w:hAnsi="宋体"/>
          <w:sz w:val="24"/>
        </w:rPr>
        <w:br w:type="page"/>
      </w:r>
    </w:p>
    <w:p>
      <w:pPr>
        <w:pStyle w:val="2"/>
        <w:numPr>
          <w:ilvl w:val="0"/>
          <w:numId w:val="0"/>
        </w:numPr>
        <w:ind w:left="-710" w:leftChars="-338"/>
        <w:jc w:val="center"/>
      </w:pPr>
      <w:r>
        <w:rPr>
          <w:rFonts w:hint="eastAsia"/>
        </w:rPr>
        <w:t>第三部分投标文件具体要求</w:t>
      </w:r>
    </w:p>
    <w:tbl>
      <w:tblPr>
        <w:tblStyle w:val="28"/>
        <w:tblpPr w:leftFromText="180" w:rightFromText="180" w:vertAnchor="text" w:tblpY="1"/>
        <w:tblOverlap w:val="never"/>
        <w:tblW w:w="9854" w:type="dxa"/>
        <w:tblInd w:w="0" w:type="dxa"/>
        <w:tblLayout w:type="fixed"/>
        <w:tblCellMar>
          <w:top w:w="0" w:type="dxa"/>
          <w:left w:w="108" w:type="dxa"/>
          <w:bottom w:w="0" w:type="dxa"/>
          <w:right w:w="108" w:type="dxa"/>
        </w:tblCellMar>
      </w:tblPr>
      <w:tblGrid>
        <w:gridCol w:w="1242"/>
        <w:gridCol w:w="8612"/>
      </w:tblGrid>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pPr>
              <w:rPr>
                <w:b/>
                <w:sz w:val="32"/>
              </w:rPr>
            </w:pPr>
            <w:r>
              <w:rPr>
                <w:rFonts w:hint="eastAsia" w:asciiTheme="minorEastAsia" w:hAnsiTheme="minorEastAsia" w:eastAsiaTheme="minorEastAsia"/>
                <w:b/>
                <w:color w:val="000000" w:themeColor="text1"/>
                <w:sz w:val="24"/>
                <w14:textFill>
                  <w14:solidFill>
                    <w14:schemeClr w14:val="tx1"/>
                  </w14:solidFill>
                </w14:textFill>
              </w:rPr>
              <w:t>询比价编号：CXJJXBJ-2025-001</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24"/>
              </w:rPr>
              <w:t>项目</w:t>
            </w:r>
            <w:r>
              <w:rPr>
                <w:rFonts w:ascii="宋体" w:hAnsi="宋体" w:cs="宋体"/>
                <w:b/>
                <w:bCs/>
                <w:kern w:val="0"/>
                <w:sz w:val="24"/>
              </w:rPr>
              <w:t>名称：</w:t>
            </w:r>
            <w:r>
              <w:rPr>
                <w:rFonts w:hint="eastAsia" w:ascii="宋体" w:hAnsi="宋体" w:cs="Arial"/>
                <w:b/>
                <w:sz w:val="24"/>
              </w:rPr>
              <w:t>环形件局部损伤修复过程控制技术研究</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ascii="宋体" w:hAnsi="宋体" w:cs="宋体"/>
                <w:b/>
                <w:bCs/>
                <w:kern w:val="0"/>
                <w:sz w:val="24"/>
              </w:rPr>
              <w:t>数量：1</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报价方式及币种</w:t>
            </w:r>
          </w:p>
        </w:tc>
      </w:tr>
      <w:tr>
        <w:tblPrEx>
          <w:tblCellMar>
            <w:top w:w="0" w:type="dxa"/>
            <w:left w:w="108" w:type="dxa"/>
            <w:bottom w:w="0" w:type="dxa"/>
            <w:right w:w="108" w:type="dxa"/>
          </w:tblCellMar>
        </w:tblPrEx>
        <w:trPr>
          <w:trHeight w:val="155"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ascii="宋体" w:hAnsi="宋体"/>
                <w:sz w:val="24"/>
              </w:rPr>
              <w:t>4.1</w:t>
            </w:r>
          </w:p>
        </w:tc>
        <w:tc>
          <w:tcPr>
            <w:tcW w:w="86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Cs/>
                <w:kern w:val="0"/>
                <w:sz w:val="24"/>
              </w:rPr>
            </w:pPr>
            <w:r>
              <w:rPr>
                <w:rFonts w:ascii="宋体" w:hAnsi="宋体" w:cs="宋体"/>
                <w:bCs/>
                <w:kern w:val="0"/>
                <w:sz w:val="24"/>
              </w:rPr>
              <w:t>报价币种</w:t>
            </w:r>
            <w:r>
              <w:rPr>
                <w:rFonts w:hint="eastAsia" w:ascii="宋体" w:hAnsi="宋体" w:cs="宋体"/>
                <w:kern w:val="0"/>
                <w:sz w:val="24"/>
              </w:rPr>
              <w:t>：人民币</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 w:val="24"/>
              </w:rPr>
            </w:pPr>
            <w:r>
              <w:rPr>
                <w:rFonts w:ascii="宋体" w:hAnsi="宋体" w:cs="宋体"/>
                <w:bCs/>
                <w:kern w:val="0"/>
                <w:sz w:val="24"/>
              </w:rPr>
              <w:t>4.2</w:t>
            </w:r>
          </w:p>
        </w:tc>
        <w:tc>
          <w:tcPr>
            <w:tcW w:w="8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r>
              <w:rPr>
                <w:rFonts w:ascii="宋体" w:hAnsi="宋体" w:cs="宋体"/>
                <w:bCs/>
                <w:kern w:val="0"/>
                <w:sz w:val="24"/>
              </w:rPr>
              <w:t>报价方式</w:t>
            </w:r>
            <w:r>
              <w:rPr>
                <w:rFonts w:hint="eastAsia" w:ascii="宋体" w:hAnsi="宋体" w:cs="宋体"/>
                <w:bCs/>
                <w:kern w:val="0"/>
                <w:sz w:val="24"/>
              </w:rPr>
              <w:t>：招标方现场价</w:t>
            </w:r>
            <w:r>
              <w:rPr>
                <w:rFonts w:ascii="宋体" w:hAnsi="宋体" w:cs="宋体"/>
                <w:bCs/>
                <w:kern w:val="0"/>
                <w:sz w:val="24"/>
              </w:rPr>
              <w:t xml:space="preserve"> (包括一切税费、</w:t>
            </w:r>
            <w:r>
              <w:rPr>
                <w:rFonts w:hint="eastAsia" w:ascii="宋体" w:hAnsi="宋体" w:cs="宋体"/>
                <w:bCs/>
                <w:kern w:val="0"/>
                <w:sz w:val="24"/>
              </w:rPr>
              <w:t>材料费和外协费等</w:t>
            </w:r>
            <w:r>
              <w:rPr>
                <w:rFonts w:ascii="宋体" w:hAnsi="宋体" w:cs="宋体"/>
                <w:bCs/>
                <w:kern w:val="0"/>
                <w:sz w:val="24"/>
              </w:rPr>
              <w:t>)</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 w:val="24"/>
              </w:rPr>
            </w:pPr>
            <w:r>
              <w:rPr>
                <w:rFonts w:ascii="宋体" w:hAnsi="宋体" w:cs="宋体"/>
                <w:bCs/>
                <w:kern w:val="0"/>
                <w:sz w:val="24"/>
              </w:rPr>
              <w:t>4.3</w:t>
            </w:r>
          </w:p>
        </w:tc>
        <w:tc>
          <w:tcPr>
            <w:tcW w:w="8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r>
              <w:rPr>
                <w:rFonts w:hint="eastAsia" w:ascii="宋体" w:hAnsi="宋体" w:cs="宋体"/>
                <w:bCs/>
                <w:kern w:val="0"/>
                <w:sz w:val="24"/>
              </w:rPr>
              <w:t>实施范围：中国航发航空科技股份有限公司</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5.</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项目周期</w:t>
            </w:r>
            <w:r>
              <w:rPr>
                <w:rFonts w:ascii="宋体" w:hAnsi="宋体"/>
                <w:b/>
                <w:sz w:val="24"/>
              </w:rPr>
              <w:t>：至</w:t>
            </w:r>
            <w:r>
              <w:rPr>
                <w:rFonts w:hint="eastAsia" w:ascii="宋体" w:hAnsi="宋体"/>
                <w:b/>
                <w:sz w:val="24"/>
              </w:rPr>
              <w:t>202</w:t>
            </w:r>
            <w:r>
              <w:rPr>
                <w:rFonts w:hint="eastAsia" w:ascii="宋体" w:hAnsi="宋体"/>
                <w:b/>
                <w:sz w:val="24"/>
                <w:lang w:val="en-US" w:eastAsia="zh-CN"/>
              </w:rPr>
              <w:t>6</w:t>
            </w:r>
            <w:r>
              <w:rPr>
                <w:rFonts w:hint="eastAsia" w:ascii="宋体" w:hAnsi="宋体"/>
                <w:b/>
                <w:sz w:val="24"/>
              </w:rPr>
              <w:t>年</w:t>
            </w:r>
            <w:r>
              <w:rPr>
                <w:rFonts w:hint="eastAsia" w:ascii="宋体" w:hAnsi="宋体"/>
                <w:b/>
                <w:sz w:val="24"/>
                <w:lang w:val="en-US" w:eastAsia="zh-CN"/>
              </w:rPr>
              <w:t>3</w:t>
            </w:r>
            <w:r>
              <w:rPr>
                <w:rFonts w:hint="eastAsia" w:ascii="宋体" w:hAnsi="宋体"/>
                <w:b/>
                <w:sz w:val="24"/>
              </w:rPr>
              <w:t>月</w:t>
            </w:r>
            <w:r>
              <w:rPr>
                <w:rFonts w:ascii="宋体" w:hAnsi="宋体"/>
                <w:b/>
                <w:sz w:val="24"/>
              </w:rPr>
              <w:t>。</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6.</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bCs/>
                <w:sz w:val="24"/>
              </w:rPr>
              <w:t>项目</w:t>
            </w:r>
            <w:r>
              <w:rPr>
                <w:rFonts w:hint="eastAsia"/>
                <w:b/>
                <w:bCs/>
                <w:snapToGrid w:val="0"/>
                <w:sz w:val="24"/>
              </w:rPr>
              <w:t>整体要求</w:t>
            </w:r>
            <w:r>
              <w:rPr>
                <w:rFonts w:ascii="宋体" w:hAnsi="宋体"/>
                <w:b/>
                <w:sz w:val="24"/>
              </w:rPr>
              <w:t>：</w:t>
            </w:r>
          </w:p>
          <w:p>
            <w:pPr>
              <w:tabs>
                <w:tab w:val="left" w:pos="480"/>
              </w:tabs>
              <w:spacing w:line="480" w:lineRule="exact"/>
              <w:ind w:right="685" w:rightChars="326" w:firstLine="482" w:firstLineChars="200"/>
              <w:jc w:val="left"/>
              <w:rPr>
                <w:rFonts w:ascii="宋体" w:hAnsi="宋体"/>
                <w:b/>
                <w:sz w:val="24"/>
              </w:rPr>
            </w:pPr>
            <w:r>
              <w:rPr>
                <w:rFonts w:hint="eastAsia" w:ascii="宋体" w:hAnsi="宋体"/>
                <w:b/>
                <w:sz w:val="24"/>
              </w:rPr>
              <w:t>针对局部损伤环形件的高效高质修复，开展激光直接沉积修复过程控制技术研究，解决修复过程中熔池监测与零件内部残余应力控制等问题。主要研究内容如下：通过熔池在线监测方法，构建激光熔覆熔池动态监测平台，研究熔覆层缺陷及残余应力控制方法，研究激光熔覆温度场控制方法，获得无缺陷及低应力的激光熔覆工艺窗口，实现航空发动机环形件局部损伤修复控型控性技术验证，提高零件修复的可靠性。</w:t>
            </w:r>
          </w:p>
          <w:p>
            <w:pPr>
              <w:tabs>
                <w:tab w:val="left" w:pos="480"/>
              </w:tabs>
              <w:spacing w:line="480" w:lineRule="exact"/>
              <w:ind w:right="685" w:rightChars="326" w:firstLine="482" w:firstLineChars="200"/>
              <w:jc w:val="left"/>
              <w:rPr>
                <w:rFonts w:ascii="宋体" w:hAnsi="宋体"/>
                <w:sz w:val="24"/>
              </w:rPr>
            </w:pPr>
            <w:r>
              <w:rPr>
                <w:rFonts w:hint="eastAsia" w:ascii="宋体" w:hAnsi="宋体" w:cs="宋体"/>
                <w:b/>
                <w:bCs/>
                <w:kern w:val="0"/>
                <w:sz w:val="24"/>
              </w:rPr>
              <w:t>通过技术合作研究，达到招标方自主掌握航空发动机环形件局部损伤激光熔覆熔池特征信息提取、工艺参数匹配、修复质量控制等效果，使招标方初步掌握航空发动机环形件局部损伤激光熔覆修复能力。</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ascii="宋体" w:hAnsi="宋体"/>
                <w:sz w:val="24"/>
              </w:rPr>
              <w:t>7.</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详细研究内容、指标与要求</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highlight w:val="yellow"/>
              </w:rPr>
            </w:pPr>
            <w:r>
              <w:rPr>
                <w:rFonts w:ascii="宋体" w:hAnsi="宋体"/>
                <w:b/>
                <w:sz w:val="24"/>
              </w:rPr>
              <w:t>7.1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b/>
                <w:sz w:val="24"/>
              </w:rPr>
            </w:pPr>
            <w:r>
              <w:rPr>
                <w:rFonts w:hint="eastAsia" w:ascii="宋体" w:hAnsi="宋体"/>
                <w:b/>
                <w:sz w:val="24"/>
              </w:rPr>
              <w:t>基于视觉的熔池在线监测技术研究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7.1.1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b/>
                <w:bCs/>
                <w:sz w:val="24"/>
              </w:rPr>
              <w:t>熔池动态行为实时监测技术研究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7.1.1.1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rPr>
              <w:t>研究激光熔覆过程的工艺参数对熔池形态（长度、宽度）的影响规律</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7.1.1.2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heme="minorEastAsia" w:hAnsiTheme="minorEastAsia" w:eastAsiaTheme="minorEastAsia"/>
                <w:sz w:val="24"/>
                <w:highlight w:val="yellow"/>
                <w:lang w:eastAsia="zh-CN"/>
              </w:rPr>
            </w:pPr>
            <w:r>
              <w:rPr>
                <w:rFonts w:asciiTheme="minorEastAsia" w:hAnsiTheme="minorEastAsia" w:eastAsiaTheme="minorEastAsia"/>
                <w:sz w:val="24"/>
              </w:rPr>
              <w:t>建立熔池形态与缺陷的关联关系</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b/>
                <w:sz w:val="24"/>
                <w:lang w:eastAsia="zh-CN"/>
              </w:rPr>
            </w:pPr>
            <w:r>
              <w:rPr>
                <w:rFonts w:hint="eastAsia" w:ascii="宋体" w:hAnsi="宋体"/>
                <w:b/>
                <w:sz w:val="24"/>
              </w:rPr>
              <w:t>7.1.</w:t>
            </w:r>
            <w:r>
              <w:rPr>
                <w:rFonts w:hint="eastAsia" w:ascii="宋体" w:hAnsi="宋体"/>
                <w:b/>
                <w:sz w:val="24"/>
                <w:lang w:val="en-US" w:eastAsia="zh-CN"/>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rPr>
            </w:pPr>
            <w:r>
              <w:rPr>
                <w:rFonts w:asciiTheme="minorEastAsia" w:hAnsiTheme="minorEastAsia" w:eastAsiaTheme="minorEastAsia"/>
                <w:b/>
                <w:bCs/>
                <w:sz w:val="24"/>
              </w:rPr>
              <w:t>熔池表面温度场实时监测技术研究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7.1.2.1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研究激光熔覆过程的工艺参数对熔池表面温度场（</w:t>
            </w:r>
            <w:r>
              <w:rPr>
                <w:rFonts w:hint="eastAsia" w:asciiTheme="minorEastAsia" w:hAnsiTheme="minorEastAsia" w:eastAsiaTheme="minorEastAsia"/>
                <w:sz w:val="24"/>
                <w:lang w:eastAsia="zh-CN"/>
              </w:rPr>
              <w:t>特征点</w:t>
            </w:r>
            <w:r>
              <w:rPr>
                <w:rFonts w:asciiTheme="minorEastAsia" w:hAnsiTheme="minorEastAsia" w:eastAsiaTheme="minorEastAsia"/>
                <w:sz w:val="24"/>
              </w:rPr>
              <w:t>温度、温度梯度）的影响规律</w:t>
            </w:r>
          </w:p>
        </w:tc>
      </w:tr>
      <w:tr>
        <w:tblPrEx>
          <w:tblCellMar>
            <w:top w:w="0" w:type="dxa"/>
            <w:left w:w="108" w:type="dxa"/>
            <w:bottom w:w="0" w:type="dxa"/>
            <w:right w:w="108" w:type="dxa"/>
          </w:tblCellMar>
        </w:tblPrEx>
        <w:trPr>
          <w:trHeight w:val="563"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b/>
                <w:sz w:val="24"/>
              </w:rPr>
            </w:pPr>
            <w:r>
              <w:rPr>
                <w:rFonts w:hint="eastAsia" w:ascii="宋体" w:hAnsi="宋体"/>
                <w:b/>
                <w:sz w:val="24"/>
              </w:rPr>
              <w:t>7.1.</w:t>
            </w:r>
            <w:r>
              <w:rPr>
                <w:rFonts w:hint="eastAsia" w:ascii="宋体" w:hAnsi="宋体"/>
                <w:b/>
                <w:sz w:val="24"/>
                <w:lang w:val="en-US" w:eastAsia="zh-CN"/>
              </w:rPr>
              <w:t>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heme="minorEastAsia" w:hAnsiTheme="minorEastAsia" w:eastAsiaTheme="minorEastAsia"/>
                <w:sz w:val="24"/>
                <w:lang w:eastAsia="zh-CN"/>
              </w:rPr>
            </w:pPr>
            <w:r>
              <w:rPr>
                <w:rFonts w:asciiTheme="minorEastAsia" w:hAnsiTheme="minorEastAsia" w:eastAsiaTheme="minorEastAsia"/>
                <w:b/>
                <w:bCs/>
                <w:sz w:val="24"/>
              </w:rPr>
              <w:t>激光熔覆工艺</w:t>
            </w:r>
            <w:r>
              <w:rPr>
                <w:rFonts w:hint="eastAsia" w:asciiTheme="minorEastAsia" w:hAnsiTheme="minorEastAsia" w:eastAsiaTheme="minorEastAsia"/>
                <w:b/>
                <w:bCs/>
                <w:sz w:val="24"/>
                <w:lang w:eastAsia="zh-CN"/>
              </w:rPr>
              <w:t>开发</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eastAsia="宋体"/>
                <w:b/>
                <w:sz w:val="24"/>
                <w:lang w:val="en-US" w:eastAsia="zh-CN"/>
              </w:rPr>
            </w:pPr>
            <w:r>
              <w:rPr>
                <w:rFonts w:hint="eastAsia" w:ascii="宋体" w:hAnsi="宋体"/>
                <w:b/>
                <w:sz w:val="24"/>
                <w:lang w:val="en-US" w:eastAsia="zh-CN"/>
              </w:rPr>
              <w:t>7.1.3.1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lang w:eastAsia="zh-CN"/>
              </w:rPr>
              <w:t>基于熔池形态和熔池表面温度场结果</w:t>
            </w:r>
            <w:r>
              <w:rPr>
                <w:rFonts w:asciiTheme="minorEastAsia" w:hAnsiTheme="minorEastAsia" w:eastAsiaTheme="minorEastAsia"/>
                <w:sz w:val="24"/>
              </w:rPr>
              <w:t>确定激光熔覆工艺参数窗口</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3</w:t>
            </w:r>
            <w:r>
              <w:rPr>
                <w:rFonts w:hint="eastAsia" w:ascii="宋体" w:hAnsi="宋体"/>
                <w:b/>
                <w:sz w:val="24"/>
              </w:rPr>
              <w:t>.</w:t>
            </w:r>
            <w:r>
              <w:rPr>
                <w:rFonts w:hint="eastAsia" w:ascii="宋体" w:hAnsi="宋体"/>
                <w:b/>
                <w:sz w:val="24"/>
                <w:lang w:val="en-US" w:eastAsia="zh-CN"/>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熔覆层内部无裂纹、未熔合等缺陷</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3</w:t>
            </w:r>
            <w:r>
              <w:rPr>
                <w:rFonts w:hint="eastAsia" w:ascii="宋体" w:hAnsi="宋体"/>
                <w:b/>
                <w:sz w:val="24"/>
              </w:rPr>
              <w:t>.</w:t>
            </w:r>
            <w:r>
              <w:rPr>
                <w:rFonts w:hint="eastAsia" w:ascii="宋体" w:hAnsi="宋体"/>
                <w:b/>
                <w:sz w:val="24"/>
                <w:lang w:val="en-US" w:eastAsia="zh-CN"/>
              </w:rPr>
              <w:t>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cs="Times New Roman" w:asciiTheme="minorEastAsia" w:hAnsiTheme="minorEastAsia" w:eastAsiaTheme="minorEastAsia"/>
                <w:kern w:val="2"/>
                <w:sz w:val="24"/>
                <w:szCs w:val="24"/>
                <w:highlight w:val="yellow"/>
                <w:lang w:val="en-US" w:eastAsia="zh-CN" w:bidi="ar-SA"/>
              </w:rPr>
            </w:pPr>
            <w:r>
              <w:rPr>
                <w:rFonts w:hint="eastAsia" w:ascii="宋体" w:hAnsi="宋体"/>
                <w:sz w:val="24"/>
              </w:rPr>
              <w:t>熔覆层内部孔隙率＜1%</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kern w:val="2"/>
                <w:sz w:val="24"/>
                <w:szCs w:val="24"/>
                <w:lang w:val="en-US" w:eastAsia="zh-CN" w:bidi="ar-SA"/>
              </w:rPr>
            </w:pPr>
            <w:r>
              <w:rPr>
                <w:rFonts w:hint="eastAsia" w:ascii="宋体" w:hAnsi="宋体"/>
                <w:b/>
                <w:bCs/>
                <w:sz w:val="24"/>
              </w:rPr>
              <w:t>开发</w:t>
            </w:r>
            <w:r>
              <w:rPr>
                <w:rFonts w:hint="eastAsia" w:ascii="宋体" w:hAnsi="宋体"/>
                <w:b/>
                <w:bCs/>
                <w:sz w:val="24"/>
                <w:lang w:eastAsia="zh-CN"/>
              </w:rPr>
              <w:t>熔池形态</w:t>
            </w:r>
            <w:r>
              <w:rPr>
                <w:rFonts w:hint="eastAsia" w:ascii="宋体" w:hAnsi="宋体"/>
                <w:b/>
                <w:bCs/>
                <w:sz w:val="24"/>
                <w:lang w:val="en-US" w:eastAsia="zh-CN"/>
              </w:rPr>
              <w:t>-温度</w:t>
            </w:r>
            <w:r>
              <w:rPr>
                <w:rFonts w:hint="eastAsia" w:ascii="宋体" w:hAnsi="宋体"/>
                <w:b/>
                <w:bCs/>
                <w:sz w:val="24"/>
              </w:rPr>
              <w:t>成像一体化在线监测系统</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b/>
                <w:sz w:val="24"/>
                <w:szCs w:val="24"/>
                <w:lang w:val="en-US"/>
              </w:rPr>
            </w:pPr>
            <w:r>
              <w:rPr>
                <w:rFonts w:hint="eastAsia" w:ascii="宋体" w:hAnsi="宋体"/>
                <w:b/>
                <w:sz w:val="24"/>
                <w:szCs w:val="24"/>
              </w:rPr>
              <w:t>7.1.</w:t>
            </w:r>
            <w:r>
              <w:rPr>
                <w:rFonts w:hint="eastAsia" w:ascii="宋体" w:hAnsi="宋体"/>
                <w:b/>
                <w:sz w:val="24"/>
                <w:szCs w:val="24"/>
                <w:lang w:val="en-US" w:eastAsia="zh-CN"/>
              </w:rPr>
              <w:t>4.1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sz w:val="24"/>
                <w:szCs w:val="24"/>
              </w:rPr>
            </w:pPr>
            <w:r>
              <w:rPr>
                <w:rFonts w:hint="eastAsia"/>
                <w:color w:val="000000" w:themeColor="text1"/>
                <w:sz w:val="24"/>
                <w:szCs w:val="24"/>
                <w:lang w:val="en-US" w:eastAsia="zh-CN"/>
                <w14:textFill>
                  <w14:solidFill>
                    <w14:schemeClr w14:val="tx1"/>
                  </w14:solidFill>
                </w14:textFill>
              </w:rPr>
              <w:t>具备辅助定位</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b/>
                <w:sz w:val="24"/>
              </w:rPr>
            </w:pPr>
            <w:r>
              <w:rPr>
                <w:rFonts w:hint="eastAsia" w:ascii="宋体" w:hAnsi="宋体"/>
                <w:b/>
                <w:sz w:val="24"/>
              </w:rPr>
              <w:t>7.1.</w:t>
            </w:r>
            <w:r>
              <w:rPr>
                <w:rFonts w:hint="eastAsia" w:ascii="宋体" w:hAnsi="宋体"/>
                <w:b/>
                <w:sz w:val="24"/>
                <w:lang w:val="en-US" w:eastAsia="zh-CN"/>
              </w:rPr>
              <w:t>4.2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eastAsiaTheme="minorEastAsia"/>
                <w:color w:val="000000" w:themeColor="text1"/>
                <w:lang w:val="en-US" w:eastAsia="zh-CN"/>
                <w14:textFill>
                  <w14:solidFill>
                    <w14:schemeClr w14:val="tx1"/>
                  </w14:solidFill>
                </w14:textFill>
              </w:rPr>
            </w:pPr>
            <w:r>
              <w:rPr>
                <w:rFonts w:asciiTheme="minorEastAsia" w:hAnsiTheme="minorEastAsia" w:eastAsiaTheme="minorEastAsia"/>
                <w:sz w:val="24"/>
              </w:rPr>
              <w:t>应包含温度测量与记录</w:t>
            </w:r>
            <w:r>
              <w:rPr>
                <w:rFonts w:hint="eastAsia" w:asciiTheme="minorEastAsia" w:hAnsiTheme="minorEastAsia" w:eastAsiaTheme="minorEastAsia"/>
                <w:sz w:val="24"/>
                <w:lang w:eastAsia="zh-CN"/>
              </w:rPr>
              <w:t>及后处理功能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eastAsia="宋体"/>
                <w:b/>
                <w:sz w:val="24"/>
                <w:lang w:val="en-US" w:eastAsia="zh-CN"/>
              </w:rPr>
            </w:pPr>
            <w:r>
              <w:rPr>
                <w:rFonts w:hint="eastAsia" w:ascii="宋体" w:hAnsi="宋体"/>
                <w:b/>
                <w:sz w:val="24"/>
              </w:rPr>
              <w:t>*</w:t>
            </w:r>
            <w:r>
              <w:rPr>
                <w:rFonts w:hint="eastAsia" w:ascii="宋体" w:hAnsi="宋体"/>
                <w:b/>
                <w:sz w:val="24"/>
                <w:lang w:val="en-US" w:eastAsia="zh-CN"/>
              </w:rPr>
              <w:t>7.1.4.3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sz w:val="24"/>
                <w:szCs w:val="24"/>
              </w:rPr>
            </w:pPr>
            <w:r>
              <w:rPr>
                <w:rFonts w:hint="eastAsia"/>
                <w:sz w:val="24"/>
                <w:szCs w:val="24"/>
                <w:lang w:val="en-US" w:eastAsia="zh-CN"/>
              </w:rPr>
              <w:t>测温范围≥400℃～2000℃；</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b/>
                <w:sz w:val="24"/>
              </w:rPr>
            </w:pPr>
            <w:r>
              <w:rPr>
                <w:rFonts w:hint="eastAsia" w:ascii="宋体" w:hAnsi="宋体"/>
                <w:b/>
                <w:sz w:val="24"/>
                <w:lang w:val="en-US" w:eastAsia="zh-CN"/>
              </w:rPr>
              <w:t>7.1.4.4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sz w:val="24"/>
                <w:szCs w:val="24"/>
              </w:rPr>
            </w:pPr>
            <w:r>
              <w:rPr>
                <w:rFonts w:hint="eastAsia"/>
                <w:sz w:val="24"/>
                <w:szCs w:val="24"/>
                <w:lang w:val="en-US" w:eastAsia="zh-CN"/>
              </w:rPr>
              <w:t>测温精度≤±2%</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b/>
                <w:sz w:val="24"/>
              </w:rPr>
            </w:pPr>
            <w:r>
              <w:rPr>
                <w:rFonts w:hint="eastAsia" w:ascii="宋体" w:hAnsi="宋体"/>
                <w:b/>
                <w:sz w:val="24"/>
                <w:lang w:val="en-US" w:eastAsia="zh-CN"/>
              </w:rPr>
              <w:t>7.1.4.5</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eastAsia="宋体"/>
                <w:sz w:val="24"/>
                <w:lang w:val="en-US" w:eastAsia="zh-CN"/>
              </w:rPr>
            </w:pPr>
            <w:r>
              <w:rPr>
                <w:rFonts w:hint="eastAsia" w:ascii="宋体" w:hAnsi="宋体"/>
                <w:sz w:val="24"/>
                <w:lang w:eastAsia="zh-CN"/>
              </w:rPr>
              <w:t>熔池图像采集频率及像素</w:t>
            </w:r>
            <w:r>
              <w:rPr>
                <w:rFonts w:hint="eastAsia"/>
                <w:highlight w:val="none"/>
                <w:lang w:val="en-US" w:eastAsia="zh-CN"/>
              </w:rPr>
              <w:t>≥</w:t>
            </w:r>
            <w:r>
              <w:rPr>
                <w:rFonts w:hint="eastAsia" w:ascii="宋体" w:hAnsi="宋体"/>
                <w:sz w:val="24"/>
                <w:highlight w:val="none"/>
              </w:rPr>
              <w:t>60 fps@</w:t>
            </w:r>
            <w:r>
              <w:rPr>
                <w:rFonts w:hint="eastAsia" w:ascii="宋体" w:hAnsi="宋体"/>
                <w:sz w:val="24"/>
                <w:highlight w:val="none"/>
                <w:lang w:val="en-US" w:eastAsia="zh-CN"/>
              </w:rPr>
              <w:t>1440</w:t>
            </w:r>
            <w:r>
              <w:rPr>
                <w:rFonts w:hint="eastAsia" w:ascii="宋体" w:hAnsi="宋体"/>
                <w:sz w:val="24"/>
                <w:highlight w:val="none"/>
              </w:rPr>
              <w:t>×</w:t>
            </w:r>
            <w:r>
              <w:rPr>
                <w:rFonts w:hint="eastAsia" w:ascii="宋体" w:hAnsi="宋体"/>
                <w:sz w:val="24"/>
                <w:highlight w:val="none"/>
                <w:lang w:val="en-US" w:eastAsia="zh-CN"/>
              </w:rPr>
              <w:t>1080</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eastAsia="宋体" w:cs="Times New Roman"/>
                <w:b/>
                <w:kern w:val="2"/>
                <w:sz w:val="24"/>
                <w:szCs w:val="24"/>
                <w:lang w:val="en-US" w:eastAsia="zh-CN" w:bidi="ar-SA"/>
              </w:rPr>
            </w:pPr>
            <w:r>
              <w:rPr>
                <w:rFonts w:hint="eastAsia" w:ascii="宋体" w:hAnsi="宋体"/>
                <w:b/>
                <w:sz w:val="24"/>
                <w:lang w:val="en-US" w:eastAsia="zh-CN"/>
              </w:rPr>
              <w:t>7.1.4.6</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eastAsia="宋体" w:cs="Times New Roman"/>
                <w:kern w:val="2"/>
                <w:sz w:val="24"/>
                <w:szCs w:val="24"/>
                <w:lang w:val="en-US" w:eastAsia="zh-CN" w:bidi="ar-SA"/>
              </w:rPr>
            </w:pPr>
            <w:r>
              <w:rPr>
                <w:rFonts w:hint="eastAsia" w:ascii="宋体" w:hAnsi="宋体"/>
                <w:sz w:val="24"/>
                <w:lang w:eastAsia="zh-CN"/>
              </w:rPr>
              <w:t>熔池尺寸自动测量精</w:t>
            </w:r>
            <w:r>
              <w:rPr>
                <w:rFonts w:hint="eastAsia" w:ascii="宋体" w:hAnsi="宋体"/>
                <w:sz w:val="24"/>
                <w:highlight w:val="none"/>
                <w:lang w:eastAsia="zh-CN"/>
              </w:rPr>
              <w:t>度</w:t>
            </w:r>
            <w:r>
              <w:rPr>
                <w:rFonts w:hint="eastAsia" w:ascii="宋体" w:hAnsi="宋体" w:eastAsia="宋体" w:cs="宋体"/>
                <w:sz w:val="24"/>
                <w:highlight w:val="none"/>
                <w:lang w:val="en-US" w:eastAsia="zh-CN"/>
              </w:rPr>
              <w:t>±</w:t>
            </w:r>
            <w:r>
              <w:rPr>
                <w:rFonts w:hint="eastAsia" w:ascii="宋体" w:hAnsi="宋体"/>
                <w:sz w:val="24"/>
                <w:highlight w:val="none"/>
                <w:lang w:val="en-US" w:eastAsia="zh-CN"/>
              </w:rPr>
              <w:t>0.1mm</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b/>
                <w:sz w:val="24"/>
                <w:lang w:val="en-US" w:eastAsia="zh-CN"/>
              </w:rPr>
            </w:pPr>
            <w:r>
              <w:rPr>
                <w:rFonts w:hint="eastAsia" w:ascii="宋体" w:hAnsi="宋体"/>
                <w:b/>
                <w:sz w:val="24"/>
                <w:lang w:val="en-US" w:eastAsia="zh-CN"/>
              </w:rPr>
              <w:t>7.1.4.7</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sz w:val="24"/>
                <w:lang w:eastAsia="zh-CN"/>
              </w:rPr>
            </w:pPr>
            <w:r>
              <w:rPr>
                <w:rFonts w:asciiTheme="minorEastAsia" w:hAnsiTheme="minorEastAsia" w:eastAsiaTheme="minorEastAsia"/>
                <w:sz w:val="24"/>
              </w:rPr>
              <w:t>应包含</w:t>
            </w:r>
            <w:r>
              <w:rPr>
                <w:rFonts w:hint="eastAsia" w:asciiTheme="minorEastAsia" w:hAnsiTheme="minorEastAsia" w:eastAsiaTheme="minorEastAsia"/>
                <w:sz w:val="24"/>
                <w:lang w:eastAsia="zh-CN"/>
              </w:rPr>
              <w:t>熔池图像</w:t>
            </w:r>
            <w:r>
              <w:rPr>
                <w:rFonts w:asciiTheme="minorEastAsia" w:hAnsiTheme="minorEastAsia" w:eastAsiaTheme="minorEastAsia"/>
                <w:sz w:val="24"/>
              </w:rPr>
              <w:t>记录</w:t>
            </w:r>
            <w:r>
              <w:rPr>
                <w:rFonts w:hint="eastAsia" w:asciiTheme="minorEastAsia" w:hAnsiTheme="minorEastAsia" w:eastAsiaTheme="minorEastAsia"/>
                <w:sz w:val="24"/>
                <w:lang w:eastAsia="zh-CN"/>
              </w:rPr>
              <w:t>、存储及后处理功能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5</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形成基于视觉的激光熔覆熔池在线监测技术分析报告一份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5</w:t>
            </w:r>
            <w:r>
              <w:rPr>
                <w:rFonts w:hint="eastAsia" w:ascii="宋体" w:hAnsi="宋体"/>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报告需含激光熔覆过程的工艺参数对熔池形态、表面温度场的影响规律</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5</w:t>
            </w:r>
            <w:r>
              <w:rPr>
                <w:rFonts w:hint="eastAsia"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报告需含熔池形态与缺陷特征的关联关系</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b/>
                <w:sz w:val="24"/>
                <w:lang w:eastAsia="zh-CN"/>
              </w:rPr>
            </w:pPr>
            <w:r>
              <w:rPr>
                <w:rFonts w:hint="eastAsia" w:ascii="宋体" w:hAnsi="宋体"/>
                <w:b/>
                <w:sz w:val="24"/>
              </w:rPr>
              <w:t>7.1.</w:t>
            </w: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rPr>
            </w:pPr>
            <w:r>
              <w:rPr>
                <w:rFonts w:asciiTheme="minorEastAsia" w:hAnsiTheme="minorEastAsia" w:eastAsiaTheme="minorEastAsia"/>
                <w:sz w:val="24"/>
              </w:rPr>
              <w:t>报告需含熔池表面温度场与</w:t>
            </w:r>
            <w:r>
              <w:rPr>
                <w:rFonts w:hint="eastAsia" w:asciiTheme="minorEastAsia" w:hAnsiTheme="minorEastAsia" w:eastAsiaTheme="minorEastAsia"/>
                <w:sz w:val="24"/>
                <w:lang w:eastAsia="zh-CN"/>
              </w:rPr>
              <w:t>微观组织</w:t>
            </w:r>
            <w:r>
              <w:rPr>
                <w:rFonts w:asciiTheme="minorEastAsia" w:hAnsiTheme="minorEastAsia" w:eastAsiaTheme="minorEastAsia"/>
                <w:sz w:val="24"/>
              </w:rPr>
              <w:t>的</w:t>
            </w:r>
            <w:r>
              <w:rPr>
                <w:rFonts w:hint="eastAsia" w:asciiTheme="minorEastAsia" w:hAnsiTheme="minorEastAsia" w:eastAsiaTheme="minorEastAsia"/>
                <w:sz w:val="24"/>
                <w:lang w:eastAsia="zh-CN"/>
              </w:rPr>
              <w:t>映射</w:t>
            </w:r>
            <w:r>
              <w:rPr>
                <w:rFonts w:asciiTheme="minorEastAsia" w:hAnsiTheme="minorEastAsia" w:eastAsiaTheme="minorEastAsia"/>
                <w:sz w:val="24"/>
              </w:rPr>
              <w:t>关系</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报告需含基于视觉的</w:t>
            </w:r>
            <w:r>
              <w:rPr>
                <w:rFonts w:hint="eastAsia" w:asciiTheme="minorEastAsia" w:hAnsiTheme="minorEastAsia" w:eastAsiaTheme="minorEastAsia"/>
                <w:sz w:val="24"/>
              </w:rPr>
              <w:t>激光熔覆熔池在线监测技术</w:t>
            </w:r>
            <w:r>
              <w:rPr>
                <w:rFonts w:asciiTheme="minorEastAsia" w:hAnsiTheme="minorEastAsia" w:eastAsiaTheme="minorEastAsia"/>
                <w:sz w:val="24"/>
              </w:rPr>
              <w:t>及其效果验证</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b/>
                <w:sz w:val="24"/>
              </w:rPr>
            </w:pPr>
            <w:r>
              <w:rPr>
                <w:rFonts w:hint="eastAsia" w:ascii="宋体" w:hAnsi="宋体"/>
                <w:b/>
                <w:sz w:val="24"/>
              </w:rPr>
              <w:t>基于温度场的残余应力控制技术研究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b/>
                <w:bCs/>
                <w:sz w:val="24"/>
              </w:rPr>
              <w:t>温度场控制技术开发</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rPr>
              <w:t>根据激光熔覆设备与待修零件特点，确定感应加热硬件系统构成</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hint="eastAsia" w:asciiTheme="minorEastAsia" w:hAnsiTheme="minorEastAsia" w:eastAsiaTheme="minorEastAsia"/>
                <w:sz w:val="24"/>
              </w:rPr>
              <w:t>负责</w:t>
            </w:r>
            <w:r>
              <w:rPr>
                <w:rFonts w:asciiTheme="minorEastAsia" w:hAnsiTheme="minorEastAsia" w:eastAsiaTheme="minorEastAsia"/>
                <w:sz w:val="24"/>
              </w:rPr>
              <w:t>在买方激光熔覆设备上安装、调试相关硬件设备以便进行后续研究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heme="minorEastAsia" w:hAnsiTheme="minorEastAsia" w:eastAsiaTheme="minorEastAsia"/>
                <w:sz w:val="24"/>
                <w:highlight w:val="yellow"/>
                <w:lang w:eastAsia="zh-CN"/>
              </w:rPr>
            </w:pPr>
            <w:r>
              <w:rPr>
                <w:rFonts w:asciiTheme="minorEastAsia" w:hAnsiTheme="minorEastAsia" w:eastAsiaTheme="minorEastAsia"/>
                <w:sz w:val="24"/>
              </w:rPr>
              <w:t>应包含温度测量与记录、预热与缓冷控制功能</w:t>
            </w:r>
            <w:r>
              <w:rPr>
                <w:rFonts w:hint="eastAsia" w:asciiTheme="minorEastAsia" w:hAnsiTheme="minorEastAsia" w:eastAsiaTheme="minorEastAsia"/>
                <w:sz w:val="24"/>
                <w:lang w:eastAsia="zh-CN"/>
              </w:rPr>
              <w:t>、恒温控制功能、</w:t>
            </w:r>
            <w:r>
              <w:rPr>
                <w:rFonts w:hint="eastAsia" w:asciiTheme="minorEastAsia" w:hAnsiTheme="minorEastAsia" w:eastAsiaTheme="minorEastAsia"/>
                <w:sz w:val="24"/>
                <w:highlight w:val="none"/>
                <w:lang w:eastAsia="zh-CN"/>
              </w:rPr>
              <w:t>氩气气冷装置</w:t>
            </w:r>
            <w:r>
              <w:rPr>
                <w:rFonts w:hint="eastAsia" w:asciiTheme="minorEastAsia" w:hAnsiTheme="minorEastAsia" w:eastAsiaTheme="minorEastAsia"/>
                <w:sz w:val="24"/>
                <w:lang w:eastAsia="zh-CN"/>
              </w:rPr>
              <w:t>。</w:t>
            </w:r>
          </w:p>
        </w:tc>
      </w:tr>
      <w:tr>
        <w:tblPrEx>
          <w:tblCellMar>
            <w:top w:w="0" w:type="dxa"/>
            <w:left w:w="108" w:type="dxa"/>
            <w:bottom w:w="0" w:type="dxa"/>
            <w:right w:w="108" w:type="dxa"/>
          </w:tblCellMar>
        </w:tblPrEx>
        <w:trPr>
          <w:trHeight w:val="57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highlight w:val="none"/>
                <w:lang w:val="en-US" w:eastAsia="zh-CN"/>
              </w:rPr>
              <w:t>*</w:t>
            </w:r>
            <w:r>
              <w:rPr>
                <w:rFonts w:hint="eastAsia" w:ascii="宋体" w:hAnsi="宋体"/>
                <w:b/>
                <w:sz w:val="24"/>
                <w:highlight w:val="none"/>
              </w:rPr>
              <w:t>7.2.1.4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rPr>
              <w:t>感应加热温度范围：</w:t>
            </w:r>
            <w:r>
              <w:rPr>
                <w:rFonts w:ascii="宋体" w:hAnsi="宋体"/>
                <w:sz w:val="24"/>
              </w:rPr>
              <w:t>室温</w:t>
            </w:r>
            <w:r>
              <w:rPr>
                <w:sz w:val="24"/>
              </w:rPr>
              <w:t>~</w:t>
            </w:r>
            <w:r>
              <w:rPr>
                <w:rFonts w:hint="eastAsia"/>
                <w:sz w:val="24"/>
              </w:rPr>
              <w:t>1</w:t>
            </w:r>
            <w:r>
              <w:rPr>
                <w:rFonts w:hint="eastAsia"/>
                <w:sz w:val="24"/>
                <w:lang w:val="en-US" w:eastAsia="zh-CN"/>
              </w:rPr>
              <w:t>2</w:t>
            </w:r>
            <w:r>
              <w:rPr>
                <w:rFonts w:hint="eastAsia"/>
                <w:sz w:val="24"/>
              </w:rPr>
              <w:t>00℃</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7.2.1.5</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eastAsia="宋体" w:asciiTheme="minorEastAsia" w:hAnsiTheme="minorEastAsia"/>
                <w:sz w:val="24"/>
                <w:highlight w:val="yellow"/>
                <w:lang w:val="en-US" w:eastAsia="zh-CN"/>
              </w:rPr>
            </w:pPr>
            <w:r>
              <w:rPr>
                <w:rFonts w:ascii="宋体" w:hAnsi="宋体"/>
                <w:sz w:val="24"/>
              </w:rPr>
              <w:t>温度控制精度：</w:t>
            </w:r>
            <w:r>
              <w:rPr>
                <w:sz w:val="24"/>
                <w:highlight w:val="none"/>
              </w:rPr>
              <w:t>±</w:t>
            </w:r>
            <w:r>
              <w:rPr>
                <w:rFonts w:hint="eastAsia"/>
                <w:sz w:val="24"/>
                <w:highlight w:val="none"/>
                <w:lang w:val="en-US" w:eastAsia="zh-CN"/>
              </w:rPr>
              <w:t>2%</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7.2.1.6</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宋体" w:hAnsi="宋体"/>
                <w:sz w:val="24"/>
                <w:highlight w:val="none"/>
              </w:rPr>
              <w:t>测温范围：</w:t>
            </w:r>
            <w:r>
              <w:rPr>
                <w:rFonts w:hint="eastAsia"/>
                <w:sz w:val="24"/>
                <w:highlight w:val="none"/>
              </w:rPr>
              <w:t>350</w:t>
            </w:r>
            <w:r>
              <w:rPr>
                <w:sz w:val="24"/>
                <w:highlight w:val="none"/>
              </w:rPr>
              <w:t>~</w:t>
            </w:r>
            <w:r>
              <w:rPr>
                <w:rFonts w:hint="eastAsia"/>
                <w:sz w:val="24"/>
                <w:highlight w:val="none"/>
                <w:lang w:val="en-US" w:eastAsia="zh-CN"/>
              </w:rPr>
              <w:t>14</w:t>
            </w:r>
            <w:r>
              <w:rPr>
                <w:rFonts w:hint="eastAsia"/>
                <w:sz w:val="24"/>
                <w:highlight w:val="none"/>
              </w:rPr>
              <w:t>00℃</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7.2.1.7</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sz w:val="24"/>
                <w:highlight w:val="yellow"/>
                <w:lang w:val="en-US" w:eastAsia="zh-CN"/>
              </w:rPr>
            </w:pPr>
            <w:r>
              <w:rPr>
                <w:rFonts w:ascii="宋体" w:hAnsi="宋体"/>
                <w:sz w:val="24"/>
                <w:highlight w:val="none"/>
              </w:rPr>
              <w:t>测温精度：</w:t>
            </w:r>
            <w:r>
              <w:rPr>
                <w:rFonts w:hint="eastAsia"/>
                <w:sz w:val="24"/>
                <w:highlight w:val="none"/>
              </w:rPr>
              <w:t>±2%</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highlight w:val="none"/>
                <w:lang w:val="en-US" w:eastAsia="zh-CN" w:bidi="ar-SA"/>
              </w:rPr>
            </w:pPr>
            <w:r>
              <w:rPr>
                <w:rFonts w:hint="eastAsia" w:ascii="宋体" w:hAnsi="宋体"/>
                <w:b/>
                <w:sz w:val="24"/>
                <w:highlight w:val="none"/>
              </w:rPr>
              <w:t>7.2.1.</w:t>
            </w:r>
            <w:r>
              <w:rPr>
                <w:rFonts w:hint="eastAsia" w:ascii="宋体" w:hAnsi="宋体"/>
                <w:b/>
                <w:sz w:val="24"/>
                <w:highlight w:val="none"/>
                <w:lang w:val="en-US" w:eastAsia="zh-CN"/>
              </w:rPr>
              <w:t>8</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感应线圈形状可定制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b/>
                <w:bCs/>
                <w:sz w:val="24"/>
              </w:rPr>
              <w:t>工艺参数匹配研究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7.2.2.1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heme="minorEastAsia" w:hAnsiTheme="minorEastAsia" w:eastAsiaTheme="minorEastAsia"/>
                <w:sz w:val="24"/>
                <w:highlight w:val="yellow"/>
                <w:lang w:eastAsia="zh-CN"/>
              </w:rPr>
            </w:pPr>
            <w:r>
              <w:rPr>
                <w:rFonts w:hint="eastAsia" w:asciiTheme="minorEastAsia" w:hAnsiTheme="minorEastAsia" w:eastAsiaTheme="minorEastAsia"/>
                <w:sz w:val="24"/>
                <w:highlight w:val="none"/>
                <w:lang w:eastAsia="zh-CN"/>
              </w:rPr>
              <w:t>研究修复工艺参数调控对残余应力的影响</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宋体" w:cs="Times New Roman"/>
                <w:b/>
                <w:kern w:val="2"/>
                <w:sz w:val="24"/>
                <w:szCs w:val="24"/>
                <w:lang w:val="en-US" w:eastAsia="zh-CN" w:bidi="ar-SA"/>
              </w:rPr>
            </w:pPr>
            <w:r>
              <w:rPr>
                <w:rFonts w:hint="eastAsia" w:ascii="宋体" w:hAnsi="宋体"/>
                <w:b/>
                <w:sz w:val="24"/>
              </w:rPr>
              <w:t>7.2.2.2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highlight w:val="none"/>
              </w:rPr>
              <w:t>研究不同预热温度对缺陷、残余应力的影响规律</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b/>
                <w:sz w:val="24"/>
                <w:lang w:eastAsia="zh-CN"/>
              </w:rPr>
            </w:pPr>
            <w:r>
              <w:rPr>
                <w:rFonts w:hint="eastAsia" w:ascii="宋体" w:hAnsi="宋体"/>
                <w:b/>
                <w:sz w:val="24"/>
              </w:rPr>
              <w:t>7.2.2.</w:t>
            </w:r>
            <w:r>
              <w:rPr>
                <w:rFonts w:hint="eastAsia" w:ascii="宋体" w:hAnsi="宋体"/>
                <w:b/>
                <w:sz w:val="24"/>
                <w:lang w:val="en-US" w:eastAsia="zh-CN"/>
              </w:rPr>
              <w:t>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highlight w:val="none"/>
              </w:rPr>
              <w:t>研究</w:t>
            </w:r>
            <w:r>
              <w:rPr>
                <w:rFonts w:hint="eastAsia" w:asciiTheme="minorEastAsia" w:hAnsiTheme="minorEastAsia" w:eastAsiaTheme="minorEastAsia"/>
                <w:sz w:val="24"/>
                <w:highlight w:val="none"/>
                <w:lang w:eastAsia="zh-CN"/>
              </w:rPr>
              <w:t>冷却速率、修复路径</w:t>
            </w:r>
            <w:r>
              <w:rPr>
                <w:rFonts w:asciiTheme="minorEastAsia" w:hAnsiTheme="minorEastAsia" w:eastAsiaTheme="minorEastAsia"/>
                <w:sz w:val="24"/>
                <w:highlight w:val="none"/>
              </w:rPr>
              <w:t>与激光熔覆修复工艺参数的匹配关系，确定激光熔覆修复工艺</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b/>
                <w:bCs/>
                <w:sz w:val="24"/>
              </w:rPr>
              <w:t>形成基于</w:t>
            </w:r>
            <w:r>
              <w:rPr>
                <w:rFonts w:hint="eastAsia" w:asciiTheme="minorEastAsia" w:hAnsiTheme="minorEastAsia" w:eastAsiaTheme="minorEastAsia"/>
                <w:b/>
                <w:bCs/>
                <w:sz w:val="24"/>
                <w:lang w:eastAsia="zh-CN"/>
              </w:rPr>
              <w:t>温度场</w:t>
            </w:r>
            <w:r>
              <w:rPr>
                <w:rFonts w:asciiTheme="minorEastAsia" w:hAnsiTheme="minorEastAsia" w:eastAsiaTheme="minorEastAsia"/>
                <w:b/>
                <w:bCs/>
                <w:sz w:val="24"/>
              </w:rPr>
              <w:t>的残余应力控制技术分析报告一份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7.2.3.1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highlight w:val="none"/>
              </w:rPr>
              <w:t>报告需含预热温度</w:t>
            </w:r>
            <w:r>
              <w:rPr>
                <w:rFonts w:hint="eastAsia" w:ascii="宋体" w:hAnsi="宋体"/>
                <w:sz w:val="24"/>
                <w:highlight w:val="none"/>
              </w:rPr>
              <w:t>对</w:t>
            </w:r>
            <w:r>
              <w:rPr>
                <w:rFonts w:hint="eastAsia" w:ascii="宋体" w:hAnsi="宋体"/>
                <w:sz w:val="24"/>
                <w:highlight w:val="none"/>
                <w:lang w:eastAsia="zh-CN"/>
              </w:rPr>
              <w:t>修复</w:t>
            </w:r>
            <w:r>
              <w:rPr>
                <w:rFonts w:hint="eastAsia" w:ascii="宋体" w:hAnsi="宋体"/>
                <w:sz w:val="24"/>
                <w:highlight w:val="none"/>
              </w:rPr>
              <w:t>质量的影响规律及影响显著性情况</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7.2.3.2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rPr>
              <w:t>报告需含基于温度场控制的残余应力控制技术及其效果验证</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highlight w:val="yellow"/>
              </w:rPr>
            </w:pPr>
            <w:r>
              <w:rPr>
                <w:rFonts w:hint="eastAsia" w:ascii="宋体" w:hAnsi="宋体"/>
                <w:b/>
                <w:sz w:val="24"/>
              </w:rPr>
              <w:t>7.3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highlight w:val="red"/>
              </w:rPr>
            </w:pPr>
            <w:r>
              <w:rPr>
                <w:rFonts w:hint="eastAsia" w:ascii="宋体" w:hAnsi="宋体" w:cs="宋体"/>
                <w:b/>
                <w:bCs/>
                <w:kern w:val="0"/>
                <w:sz w:val="24"/>
              </w:rPr>
              <w:t>典型环形件局部损伤修复过程控制技术验证研究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7.3.1</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cs="宋体"/>
                <w:b/>
                <w:bCs w:val="0"/>
                <w:kern w:val="0"/>
                <w:sz w:val="24"/>
              </w:rPr>
              <w:t>制定典型环形件（开口环和空气挡油圈）激光熔覆修复过程控制技术验证方案</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7.3.2</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b/>
                <w:bCs/>
                <w:sz w:val="24"/>
              </w:rPr>
              <w:t>开展</w:t>
            </w:r>
            <w:r>
              <w:rPr>
                <w:rFonts w:hint="eastAsia" w:ascii="宋体" w:hAnsi="宋体" w:cs="宋体"/>
                <w:b/>
                <w:bCs/>
                <w:kern w:val="0"/>
                <w:sz w:val="24"/>
              </w:rPr>
              <w:t>开口环</w:t>
            </w:r>
            <w:r>
              <w:rPr>
                <w:rFonts w:hint="eastAsia" w:ascii="宋体" w:hAnsi="宋体" w:cs="宋体"/>
                <w:b/>
                <w:bCs/>
                <w:kern w:val="0"/>
                <w:sz w:val="24"/>
                <w:lang w:eastAsia="zh-CN"/>
              </w:rPr>
              <w:t>、</w:t>
            </w:r>
            <w:r>
              <w:rPr>
                <w:rFonts w:hint="eastAsia" w:ascii="宋体" w:hAnsi="宋体" w:cs="宋体"/>
                <w:b/>
                <w:bCs/>
                <w:kern w:val="0"/>
                <w:sz w:val="24"/>
              </w:rPr>
              <w:t>空气挡油圈激光熔覆修复过程控制技术验证实验</w:t>
            </w:r>
          </w:p>
        </w:tc>
      </w:tr>
      <w:tr>
        <w:tblPrEx>
          <w:tblCellMar>
            <w:top w:w="0" w:type="dxa"/>
            <w:left w:w="108" w:type="dxa"/>
            <w:bottom w:w="0" w:type="dxa"/>
            <w:right w:w="108" w:type="dxa"/>
          </w:tblCellMar>
        </w:tblPrEx>
        <w:trPr>
          <w:trHeight w:val="615"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7.3.3</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cs="宋体"/>
                <w:b/>
                <w:bCs w:val="0"/>
                <w:kern w:val="0"/>
                <w:sz w:val="24"/>
              </w:rPr>
              <w:t>验证开口环</w:t>
            </w:r>
            <w:r>
              <w:rPr>
                <w:rFonts w:hint="eastAsia" w:ascii="宋体" w:hAnsi="宋体" w:cs="宋体"/>
                <w:b/>
                <w:bCs w:val="0"/>
                <w:kern w:val="0"/>
                <w:sz w:val="24"/>
                <w:lang w:eastAsia="zh-CN"/>
              </w:rPr>
              <w:t>、</w:t>
            </w:r>
            <w:r>
              <w:rPr>
                <w:rFonts w:hint="eastAsia" w:ascii="宋体" w:hAnsi="宋体" w:cs="宋体"/>
                <w:b/>
                <w:bCs w:val="0"/>
                <w:kern w:val="0"/>
                <w:sz w:val="24"/>
              </w:rPr>
              <w:t>空气挡油圈修复质量结果</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*7.3.3.1</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sz w:val="24"/>
              </w:rPr>
              <w:t>激光熔覆后无裂纹，无未熔合缺陷</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*7.3.3.2</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sz w:val="24"/>
              </w:rPr>
              <w:t>熔覆层内部孔隙率＜1%</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*7.3.3.3</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sz w:val="24"/>
                <w:highlight w:val="yellow"/>
              </w:rPr>
            </w:pPr>
            <w:r>
              <w:rPr>
                <w:rFonts w:hint="eastAsia" w:ascii="宋体" w:hAnsi="宋体"/>
                <w:sz w:val="24"/>
              </w:rPr>
              <w:t>试块室温拉伸强度≥母材95%</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highlight w:val="none"/>
              </w:rPr>
              <w:t>7.3.3.4</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sz w:val="24"/>
                <w:highlight w:val="yellow"/>
              </w:rPr>
            </w:pPr>
            <w:r>
              <w:rPr>
                <w:rFonts w:hint="eastAsia" w:ascii="宋体" w:hAnsi="宋体"/>
                <w:sz w:val="24"/>
              </w:rPr>
              <w:t>试块旋弯疲劳性能≥母材90%</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highlight w:val="none"/>
              </w:rPr>
              <w:t>7.3.3.5</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cs="宋体"/>
                <w:bCs/>
                <w:kern w:val="0"/>
                <w:sz w:val="24"/>
              </w:rPr>
              <w:t>形成激光直接沉积</w:t>
            </w:r>
            <w:r>
              <w:rPr>
                <w:rFonts w:hint="eastAsia" w:asciiTheme="minorEastAsia" w:hAnsiTheme="minorEastAsia" w:eastAsiaTheme="minorEastAsia"/>
                <w:sz w:val="24"/>
              </w:rPr>
              <w:t>质量检测报</w:t>
            </w:r>
            <w:bookmarkStart w:id="33" w:name="_GoBack"/>
            <w:bookmarkEnd w:id="33"/>
            <w:r>
              <w:rPr>
                <w:rFonts w:hint="eastAsia" w:asciiTheme="minorEastAsia" w:hAnsiTheme="minorEastAsia" w:eastAsiaTheme="minorEastAsia"/>
                <w:sz w:val="24"/>
              </w:rPr>
              <w:t>告一份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b/>
                <w:sz w:val="24"/>
                <w:lang w:eastAsia="zh-CN"/>
              </w:rPr>
            </w:pPr>
            <w:r>
              <w:rPr>
                <w:rFonts w:hint="eastAsia" w:ascii="宋体" w:hAnsi="宋体"/>
                <w:b/>
                <w:sz w:val="24"/>
              </w:rPr>
              <w:t>7.3.</w:t>
            </w:r>
            <w:r>
              <w:rPr>
                <w:rFonts w:hint="eastAsia" w:ascii="宋体" w:hAnsi="宋体"/>
                <w:b/>
                <w:sz w:val="24"/>
                <w:lang w:val="en-US" w:eastAsia="zh-CN"/>
              </w:rPr>
              <w:t>4</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cs="宋体"/>
                <w:b/>
                <w:bCs w:val="0"/>
                <w:kern w:val="0"/>
                <w:sz w:val="24"/>
              </w:rPr>
              <w:t>形成</w:t>
            </w:r>
            <w:r>
              <w:rPr>
                <w:rFonts w:hint="eastAsia" w:ascii="宋体" w:hAnsi="宋体"/>
                <w:b/>
                <w:bCs w:val="0"/>
                <w:color w:val="000000" w:themeColor="text1"/>
                <w:sz w:val="24"/>
                <w14:textFill>
                  <w14:solidFill>
                    <w14:schemeClr w14:val="tx1"/>
                  </w14:solidFill>
                </w14:textFill>
              </w:rPr>
              <w:t>典型环形件局部损伤修复过程控制技术</w:t>
            </w:r>
            <w:r>
              <w:rPr>
                <w:rFonts w:hint="eastAsia" w:ascii="宋体" w:hAnsi="宋体" w:cs="宋体"/>
                <w:b/>
                <w:bCs w:val="0"/>
                <w:kern w:val="0"/>
                <w:sz w:val="24"/>
              </w:rPr>
              <w:t>研究总结报告一份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Times New Roman" w:hAnsi="宋体"/>
                <w:b/>
                <w:sz w:val="24"/>
                <w:szCs w:val="24"/>
              </w:rPr>
            </w:pPr>
            <w:r>
              <w:rPr>
                <w:rFonts w:hint="eastAsia" w:ascii="宋体" w:hAnsi="宋体"/>
                <w:b/>
                <w:sz w:val="24"/>
              </w:rPr>
              <w:t>项目实施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rPr>
            </w:pPr>
            <w:r>
              <w:rPr>
                <w:rFonts w:hint="eastAsia" w:ascii="宋体" w:hAnsi="宋体"/>
                <w:sz w:val="24"/>
              </w:rPr>
              <w:t>中标方应结合招标方现场实际及需求，按项目周期合理规划实施进度，满足招标方对项目时间节点的要求，具体要求如下：</w:t>
            </w:r>
          </w:p>
          <w:tbl>
            <w:tblPr>
              <w:tblStyle w:val="28"/>
              <w:tblpPr w:leftFromText="180" w:rightFromText="180" w:vertAnchor="text" w:tblpXSpec="center" w:tblpY="1"/>
              <w:tblOverlap w:val="never"/>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pct"/>
                  <w:shd w:val="clear" w:color="000000" w:fill="FFFFFF"/>
                  <w:vAlign w:val="center"/>
                </w:tcPr>
                <w:p>
                  <w:pPr>
                    <w:rPr>
                      <w:rFonts w:asciiTheme="minorEastAsia" w:hAnsiTheme="minorEastAsia" w:eastAsiaTheme="minorEastAsia"/>
                      <w:b/>
                      <w:sz w:val="24"/>
                    </w:rPr>
                  </w:pPr>
                  <w:r>
                    <w:rPr>
                      <w:rFonts w:hint="eastAsia" w:asciiTheme="minorEastAsia" w:hAnsiTheme="minorEastAsia" w:eastAsiaTheme="minorEastAsia"/>
                      <w:b/>
                      <w:sz w:val="24"/>
                    </w:rPr>
                    <w:t>研究进度</w:t>
                  </w:r>
                </w:p>
                <w:p>
                  <w:pPr>
                    <w:rPr>
                      <w:rFonts w:cs="宋体" w:asciiTheme="minorEastAsia" w:hAnsiTheme="minorEastAsia" w:eastAsiaTheme="minorEastAsia"/>
                      <w:sz w:val="24"/>
                    </w:rPr>
                  </w:pPr>
                  <w:r>
                    <w:rPr>
                      <w:rFonts w:hint="eastAsia" w:asciiTheme="minorEastAsia" w:hAnsiTheme="minorEastAsia" w:eastAsiaTheme="minorEastAsia"/>
                      <w:b/>
                      <w:sz w:val="24"/>
                    </w:rPr>
                    <w:t>（周期）</w:t>
                  </w:r>
                </w:p>
              </w:tc>
              <w:tc>
                <w:tcPr>
                  <w:tcW w:w="4022" w:type="pct"/>
                  <w:shd w:val="clear" w:color="000000" w:fill="FFFFFF"/>
                  <w:vAlign w:val="center"/>
                </w:tcPr>
                <w:p>
                  <w:pPr>
                    <w:rPr>
                      <w:rFonts w:asciiTheme="minorEastAsia" w:hAnsiTheme="minorEastAsia" w:eastAsiaTheme="minorEastAsia"/>
                      <w:b/>
                      <w:sz w:val="24"/>
                    </w:rPr>
                  </w:pPr>
                  <w:r>
                    <w:rPr>
                      <w:rFonts w:hint="eastAsia" w:asciiTheme="minorEastAsia" w:hAnsiTheme="minorEastAsia" w:eastAsiaTheme="minorEastAsia"/>
                      <w:b/>
                      <w:sz w:val="24"/>
                    </w:rPr>
                    <w:t>完成内容</w:t>
                  </w:r>
                </w:p>
                <w:p>
                  <w:pPr>
                    <w:rPr>
                      <w:rFonts w:cs="宋体" w:asciiTheme="minorEastAsia" w:hAnsiTheme="minorEastAsia" w:eastAsiaTheme="minorEastAsia"/>
                      <w:sz w:val="24"/>
                    </w:rPr>
                  </w:pPr>
                  <w:r>
                    <w:rPr>
                      <w:rFonts w:hint="eastAsia" w:asciiTheme="minorEastAsia" w:hAnsiTheme="minorEastAsia" w:eastAsiaTheme="minorEastAsia"/>
                      <w:b/>
                      <w:sz w:val="24"/>
                    </w:rPr>
                    <w:t>（各阶段任务）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pct"/>
                  <w:shd w:val="clear" w:color="000000" w:fill="FFFFFF"/>
                  <w:vAlign w:val="center"/>
                </w:tcPr>
                <w:p>
                  <w:pPr>
                    <w:spacing w:line="288" w:lineRule="auto"/>
                    <w:jc w:val="center"/>
                    <w:rPr>
                      <w:rFonts w:asciiTheme="majorEastAsia" w:hAnsiTheme="majorEastAsia" w:eastAsiaTheme="majorEastAsia"/>
                    </w:rPr>
                  </w:pPr>
                  <w:r>
                    <w:rPr>
                      <w:rFonts w:hint="eastAsia" w:asciiTheme="majorEastAsia" w:hAnsiTheme="majorEastAsia" w:eastAsiaTheme="majorEastAsia"/>
                    </w:rPr>
                    <w:t>T+1月</w:t>
                  </w:r>
                </w:p>
                <w:p>
                  <w:pPr>
                    <w:spacing w:line="288" w:lineRule="auto"/>
                    <w:jc w:val="center"/>
                    <w:rPr>
                      <w:rFonts w:cs="宋体" w:asciiTheme="majorEastAsia" w:hAnsiTheme="majorEastAsia" w:eastAsiaTheme="majorEastAsia"/>
                      <w:sz w:val="24"/>
                    </w:rPr>
                  </w:pPr>
                  <w:r>
                    <w:rPr>
                      <w:rFonts w:hint="eastAsia" w:asciiTheme="majorEastAsia" w:hAnsiTheme="majorEastAsia" w:eastAsiaTheme="majorEastAsia"/>
                    </w:rPr>
                    <w:t>～T+2月</w:t>
                  </w:r>
                </w:p>
              </w:tc>
              <w:tc>
                <w:tcPr>
                  <w:tcW w:w="4022" w:type="pct"/>
                  <w:shd w:val="clear" w:color="000000" w:fill="FFFFFF"/>
                  <w:vAlign w:val="center"/>
                </w:tcPr>
                <w:p>
                  <w:pPr>
                    <w:spacing w:line="288" w:lineRule="auto"/>
                    <w:rPr>
                      <w:rFonts w:cs="宋体" w:asciiTheme="majorEastAsia" w:hAnsiTheme="majorEastAsia" w:eastAsiaTheme="majorEastAsia"/>
                      <w:sz w:val="24"/>
                    </w:rPr>
                  </w:pPr>
                  <w:r>
                    <w:rPr>
                      <w:rFonts w:hint="eastAsia" w:asciiTheme="majorEastAsia" w:hAnsiTheme="majorEastAsia" w:eastAsiaTheme="majorEastAsia"/>
                    </w:rPr>
                    <w:t>完成环形件局部损伤修复过程控制技术研究方案编制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pct"/>
                  <w:shd w:val="clear" w:color="000000" w:fill="FFFFFF"/>
                  <w:vAlign w:val="center"/>
                </w:tcPr>
                <w:p>
                  <w:pPr>
                    <w:spacing w:line="288"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T+2月</w:t>
                  </w:r>
                </w:p>
                <w:p>
                  <w:pPr>
                    <w:spacing w:line="288" w:lineRule="auto"/>
                    <w:jc w:val="center"/>
                    <w:rPr>
                      <w:rFonts w:cs="宋体" w:asciiTheme="majorEastAsia" w:hAnsiTheme="majorEastAsia" w:eastAsiaTheme="majorEastAsia"/>
                      <w:sz w:val="24"/>
                      <w:highlight w:val="none"/>
                    </w:rPr>
                  </w:pPr>
                  <w:r>
                    <w:rPr>
                      <w:rFonts w:hint="eastAsia" w:asciiTheme="majorEastAsia" w:hAnsiTheme="majorEastAsia" w:eastAsiaTheme="majorEastAsia"/>
                      <w:highlight w:val="none"/>
                    </w:rPr>
                    <w:t>～T+</w:t>
                  </w:r>
                  <w:r>
                    <w:rPr>
                      <w:rFonts w:hint="eastAsia" w:asciiTheme="majorEastAsia" w:hAnsiTheme="majorEastAsia" w:eastAsiaTheme="majorEastAsia"/>
                      <w:highlight w:val="none"/>
                      <w:lang w:val="en-US" w:eastAsia="zh-CN"/>
                    </w:rPr>
                    <w:t>4</w:t>
                  </w:r>
                  <w:r>
                    <w:rPr>
                      <w:rFonts w:hint="eastAsia" w:asciiTheme="majorEastAsia" w:hAnsiTheme="majorEastAsia" w:eastAsiaTheme="majorEastAsia"/>
                      <w:highlight w:val="none"/>
                    </w:rPr>
                    <w:t>月</w:t>
                  </w:r>
                </w:p>
              </w:tc>
              <w:tc>
                <w:tcPr>
                  <w:tcW w:w="4022" w:type="pct"/>
                  <w:shd w:val="clear" w:color="000000" w:fill="FFFFFF"/>
                  <w:vAlign w:val="center"/>
                </w:tcPr>
                <w:p>
                  <w:pPr>
                    <w:numPr>
                      <w:ilvl w:val="0"/>
                      <w:numId w:val="9"/>
                    </w:numPr>
                    <w:spacing w:line="288" w:lineRule="auto"/>
                    <w:rPr>
                      <w:rFonts w:hint="eastAsia"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熔池动态行为实时监测研究</w:t>
                  </w:r>
                </w:p>
                <w:p>
                  <w:pPr>
                    <w:numPr>
                      <w:ilvl w:val="0"/>
                      <w:numId w:val="9"/>
                    </w:numPr>
                    <w:spacing w:line="288" w:lineRule="auto"/>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熔池表面温度场实时监测技术研究</w:t>
                  </w:r>
                </w:p>
                <w:p>
                  <w:pPr>
                    <w:numPr>
                      <w:ilvl w:val="0"/>
                      <w:numId w:val="9"/>
                    </w:numPr>
                    <w:spacing w:line="288" w:lineRule="auto"/>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温度场控制系统的开发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pct"/>
                  <w:shd w:val="clear" w:color="000000" w:fill="FFFFFF"/>
                  <w:vAlign w:val="center"/>
                </w:tcPr>
                <w:p>
                  <w:pPr>
                    <w:spacing w:line="288" w:lineRule="auto"/>
                    <w:jc w:val="center"/>
                    <w:rPr>
                      <w:rFonts w:asciiTheme="majorEastAsia" w:hAnsiTheme="majorEastAsia" w:eastAsiaTheme="majorEastAsia"/>
                    </w:rPr>
                  </w:pPr>
                  <w:r>
                    <w:rPr>
                      <w:rFonts w:hint="eastAsia" w:asciiTheme="majorEastAsia" w:hAnsiTheme="majorEastAsia" w:eastAsiaTheme="majorEastAsia"/>
                    </w:rPr>
                    <w:t>T+</w:t>
                  </w:r>
                  <w:r>
                    <w:rPr>
                      <w:rFonts w:hint="eastAsia" w:asciiTheme="majorEastAsia" w:hAnsiTheme="majorEastAsia" w:eastAsiaTheme="majorEastAsia"/>
                      <w:lang w:val="en-US" w:eastAsia="zh-CN"/>
                    </w:rPr>
                    <w:t>4</w:t>
                  </w:r>
                  <w:r>
                    <w:rPr>
                      <w:rFonts w:hint="eastAsia" w:asciiTheme="majorEastAsia" w:hAnsiTheme="majorEastAsia" w:eastAsiaTheme="majorEastAsia"/>
                    </w:rPr>
                    <w:t>月</w:t>
                  </w:r>
                </w:p>
                <w:p>
                  <w:pPr>
                    <w:spacing w:line="288" w:lineRule="auto"/>
                    <w:jc w:val="center"/>
                    <w:rPr>
                      <w:rFonts w:asciiTheme="majorEastAsia" w:hAnsiTheme="majorEastAsia" w:eastAsiaTheme="majorEastAsia"/>
                    </w:rPr>
                  </w:pPr>
                  <w:r>
                    <w:rPr>
                      <w:rFonts w:hint="eastAsia" w:asciiTheme="majorEastAsia" w:hAnsiTheme="majorEastAsia" w:eastAsiaTheme="majorEastAsia"/>
                    </w:rPr>
                    <w:t>～T+</w:t>
                  </w:r>
                  <w:r>
                    <w:rPr>
                      <w:rFonts w:hint="eastAsia" w:asciiTheme="majorEastAsia" w:hAnsiTheme="majorEastAsia" w:eastAsiaTheme="majorEastAsia"/>
                      <w:lang w:val="en-US" w:eastAsia="zh-CN"/>
                    </w:rPr>
                    <w:t>6</w:t>
                  </w:r>
                  <w:r>
                    <w:rPr>
                      <w:rFonts w:hint="eastAsia" w:asciiTheme="majorEastAsia" w:hAnsiTheme="majorEastAsia" w:eastAsiaTheme="majorEastAsia"/>
                    </w:rPr>
                    <w:t>月</w:t>
                  </w:r>
                </w:p>
              </w:tc>
              <w:tc>
                <w:tcPr>
                  <w:tcW w:w="4022" w:type="pct"/>
                  <w:shd w:val="clear" w:color="000000" w:fill="FFFFFF"/>
                  <w:vAlign w:val="center"/>
                </w:tcPr>
                <w:p>
                  <w:pPr>
                    <w:spacing w:line="288" w:lineRule="auto"/>
                    <w:rPr>
                      <w:rFonts w:cs="宋体" w:asciiTheme="majorEastAsia" w:hAnsiTheme="majorEastAsia" w:eastAsiaTheme="majorEastAsia"/>
                      <w:color w:val="000000" w:themeColor="text1"/>
                      <w:sz w:val="24"/>
                      <w:highlight w:val="yellow"/>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1.航空发动机典型零件激光熔覆残余应力检测及控制方法研究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pct"/>
                  <w:shd w:val="clear" w:color="000000" w:fill="FFFFFF"/>
                  <w:vAlign w:val="center"/>
                </w:tcPr>
                <w:p>
                  <w:pPr>
                    <w:spacing w:line="288" w:lineRule="auto"/>
                    <w:jc w:val="center"/>
                    <w:rPr>
                      <w:rFonts w:asciiTheme="majorEastAsia" w:hAnsiTheme="majorEastAsia" w:eastAsiaTheme="majorEastAsia"/>
                    </w:rPr>
                  </w:pPr>
                  <w:r>
                    <w:rPr>
                      <w:rFonts w:hint="eastAsia" w:asciiTheme="majorEastAsia" w:hAnsiTheme="majorEastAsia" w:eastAsiaTheme="majorEastAsia"/>
                    </w:rPr>
                    <w:t>T+</w:t>
                  </w:r>
                  <w:r>
                    <w:rPr>
                      <w:rFonts w:hint="eastAsia" w:asciiTheme="majorEastAsia" w:hAnsiTheme="majorEastAsia" w:eastAsiaTheme="majorEastAsia"/>
                      <w:lang w:val="en-US" w:eastAsia="zh-CN"/>
                    </w:rPr>
                    <w:t>6</w:t>
                  </w:r>
                  <w:r>
                    <w:rPr>
                      <w:rFonts w:hint="eastAsia" w:asciiTheme="majorEastAsia" w:hAnsiTheme="majorEastAsia" w:eastAsiaTheme="majorEastAsia"/>
                    </w:rPr>
                    <w:t>月</w:t>
                  </w:r>
                </w:p>
                <w:p>
                  <w:pPr>
                    <w:spacing w:line="288" w:lineRule="auto"/>
                    <w:jc w:val="center"/>
                    <w:rPr>
                      <w:rFonts w:asciiTheme="majorEastAsia" w:hAnsiTheme="majorEastAsia" w:eastAsiaTheme="majorEastAsia"/>
                    </w:rPr>
                  </w:pPr>
                  <w:r>
                    <w:rPr>
                      <w:rFonts w:hint="eastAsia" w:asciiTheme="majorEastAsia" w:hAnsiTheme="majorEastAsia" w:eastAsiaTheme="majorEastAsia"/>
                    </w:rPr>
                    <w:t>～T+</w:t>
                  </w:r>
                  <w:r>
                    <w:rPr>
                      <w:rFonts w:hint="eastAsia" w:asciiTheme="majorEastAsia" w:hAnsiTheme="majorEastAsia" w:eastAsiaTheme="majorEastAsia"/>
                      <w:lang w:val="en-US" w:eastAsia="zh-CN"/>
                    </w:rPr>
                    <w:t>7</w:t>
                  </w:r>
                  <w:r>
                    <w:rPr>
                      <w:rFonts w:hint="eastAsia" w:asciiTheme="majorEastAsia" w:hAnsiTheme="majorEastAsia" w:eastAsiaTheme="majorEastAsia"/>
                    </w:rPr>
                    <w:t>月</w:t>
                  </w:r>
                </w:p>
              </w:tc>
              <w:tc>
                <w:tcPr>
                  <w:tcW w:w="4022" w:type="pct"/>
                  <w:shd w:val="clear" w:color="000000" w:fill="FFFFFF"/>
                  <w:vAlign w:val="center"/>
                </w:tcPr>
                <w:p>
                  <w:pPr>
                    <w:spacing w:line="288" w:lineRule="auto"/>
                    <w:rPr>
                      <w:rFonts w:cs="宋体" w:asciiTheme="majorEastAsia" w:hAnsiTheme="majorEastAsia" w:eastAsiaTheme="majorEastAsia"/>
                      <w:color w:val="000000" w:themeColor="text1"/>
                      <w:sz w:val="24"/>
                      <w:highlight w:val="yellow"/>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1.典型环形件局部损伤修复过程控制技术验证研究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2"/>
                  <w:shd w:val="clear" w:color="000000" w:fill="FFFFFF"/>
                  <w:vAlign w:val="center"/>
                </w:tcPr>
                <w:p>
                  <w:pPr>
                    <w:spacing w:line="288" w:lineRule="auto"/>
                    <w:rPr>
                      <w:rFonts w:asciiTheme="majorEastAsia" w:hAnsiTheme="majorEastAsia" w:eastAsiaTheme="majorEastAsia"/>
                    </w:rPr>
                  </w:pPr>
                  <w:r>
                    <w:rPr>
                      <w:rFonts w:hint="eastAsia" w:asciiTheme="majorEastAsia" w:hAnsiTheme="majorEastAsia" w:eastAsiaTheme="majorEastAsia"/>
                    </w:rPr>
                    <w:t>注：T为双方合同签订日期。</w:t>
                  </w:r>
                </w:p>
              </w:tc>
            </w:tr>
          </w:tbl>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rPr>
                <w:rFonts w:ascii="宋体" w:hAnsi="宋体"/>
                <w:sz w:val="24"/>
              </w:rPr>
            </w:pPr>
          </w:p>
          <w:p>
            <w:pPr>
              <w:pStyle w:val="60"/>
              <w:spacing w:line="480" w:lineRule="exact"/>
              <w:ind w:firstLine="0" w:firstLineChars="0"/>
              <w:rPr>
                <w:rFonts w:ascii="宋体" w:hAnsi="宋体"/>
                <w:sz w:val="24"/>
              </w:rPr>
            </w:pPr>
            <w:r>
              <w:rPr>
                <w:rFonts w:ascii="宋体" w:hAnsi="宋体"/>
                <w:sz w:val="24"/>
              </w:rPr>
              <w:t>实施过程中在</w:t>
            </w:r>
            <w:r>
              <w:rPr>
                <w:rFonts w:hint="eastAsia" w:ascii="宋体" w:hAnsi="宋体"/>
                <w:sz w:val="24"/>
              </w:rPr>
              <w:t>应在</w:t>
            </w:r>
            <w:r>
              <w:rPr>
                <w:rFonts w:ascii="宋体" w:hAnsi="宋体"/>
                <w:sz w:val="24"/>
              </w:rPr>
              <w:t>满足安全保密的前提下，以最小的代价达到最优的项目实施成果。</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8.2</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rPr>
            </w:pPr>
            <w:r>
              <w:rPr>
                <w:rFonts w:hint="eastAsia" w:ascii="宋体" w:hAnsi="宋体"/>
                <w:sz w:val="24"/>
              </w:rPr>
              <w:t>中国航发航空科技股份有限公司必须全程参与研究和试验过程，投标方研究过程需对甲方全程透明化。</w:t>
            </w:r>
          </w:p>
        </w:tc>
      </w:tr>
      <w:tr>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8.3</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rPr>
            </w:pPr>
            <w:r>
              <w:rPr>
                <w:rFonts w:hint="eastAsia" w:ascii="宋体" w:hAnsi="宋体"/>
                <w:sz w:val="24"/>
              </w:rPr>
              <w:t>投标方在方</w:t>
            </w:r>
            <w:r>
              <w:rPr>
                <w:rFonts w:hint="eastAsia" w:ascii="宋体" w:hAnsi="宋体" w:cs="宋体"/>
                <w:kern w:val="0"/>
                <w:sz w:val="24"/>
                <w:shd w:val="clear" w:color="auto" w:fill="FFFFFF"/>
              </w:rPr>
              <w:t>案设计完成后组织甲方专家评审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负责，评审通过后，可转入下一阶段。</w:t>
            </w:r>
          </w:p>
        </w:tc>
      </w:tr>
      <w:tr>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8.4</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szCs w:val="24"/>
              </w:rPr>
            </w:pPr>
            <w:r>
              <w:rPr>
                <w:rFonts w:hint="eastAsia" w:ascii="宋体" w:hAnsi="宋体"/>
                <w:sz w:val="24"/>
              </w:rPr>
              <w:t>投标方依据甲方需求设计中期考核目标和形式，</w:t>
            </w:r>
            <w:r>
              <w:rPr>
                <w:rFonts w:hint="eastAsia" w:ascii="宋体" w:hAnsi="宋体" w:cs="宋体"/>
                <w:kern w:val="0"/>
                <w:sz w:val="24"/>
                <w:shd w:val="clear" w:color="auto" w:fill="FFFFFF"/>
              </w:rPr>
              <w:t>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负责，评审通过后，进行中期拨款并进入下一阶段。</w:t>
            </w:r>
          </w:p>
        </w:tc>
      </w:tr>
      <w:tr>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9</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b/>
                <w:sz w:val="24"/>
              </w:rPr>
            </w:pPr>
            <w:r>
              <w:rPr>
                <w:rFonts w:hint="eastAsia" w:ascii="宋体" w:hAnsi="宋体"/>
                <w:b/>
                <w:sz w:val="24"/>
              </w:rPr>
              <w:t>招标中提供了软件、硬件设备类需提供质保及其售后要求</w:t>
            </w:r>
          </w:p>
        </w:tc>
      </w:tr>
      <w:tr>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9.1</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rPr>
            </w:pPr>
            <w:r>
              <w:rPr>
                <w:rFonts w:ascii="宋体" w:hAnsi="宋体"/>
                <w:sz w:val="24"/>
              </w:rPr>
              <w:t>熔池在线监测装置，后期硬件设备</w:t>
            </w:r>
            <w:r>
              <w:rPr>
                <w:rFonts w:hint="eastAsia" w:ascii="宋体" w:hAnsi="宋体"/>
                <w:sz w:val="24"/>
              </w:rPr>
              <w:t>/控制软件</w:t>
            </w:r>
            <w:r>
              <w:rPr>
                <w:rFonts w:ascii="宋体" w:hAnsi="宋体"/>
                <w:sz w:val="24"/>
              </w:rPr>
              <w:t>维护服务不少于</w:t>
            </w:r>
            <w:r>
              <w:rPr>
                <w:rFonts w:hint="eastAsia" w:ascii="宋体" w:hAnsi="宋体"/>
                <w:sz w:val="24"/>
              </w:rPr>
              <w:t>2次</w:t>
            </w:r>
          </w:p>
        </w:tc>
      </w:tr>
      <w:tr>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9.2</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rPr>
            </w:pPr>
            <w:r>
              <w:rPr>
                <w:rFonts w:hint="eastAsia" w:ascii="宋体" w:hAnsi="宋体"/>
                <w:sz w:val="24"/>
              </w:rPr>
              <w:t>局部感应加热装置</w:t>
            </w:r>
            <w:r>
              <w:rPr>
                <w:rFonts w:ascii="宋体" w:hAnsi="宋体"/>
                <w:sz w:val="24"/>
              </w:rPr>
              <w:t>，后期硬件设备</w:t>
            </w:r>
            <w:r>
              <w:rPr>
                <w:rFonts w:hint="eastAsia" w:ascii="宋体" w:hAnsi="宋体"/>
                <w:sz w:val="24"/>
              </w:rPr>
              <w:t>/控制软件</w:t>
            </w:r>
            <w:r>
              <w:rPr>
                <w:rFonts w:ascii="宋体" w:hAnsi="宋体"/>
                <w:sz w:val="24"/>
              </w:rPr>
              <w:t>维护服务不少于</w:t>
            </w:r>
            <w:r>
              <w:rPr>
                <w:rFonts w:hint="eastAsia" w:ascii="宋体" w:hAnsi="宋体"/>
                <w:sz w:val="24"/>
              </w:rPr>
              <w:t>2次</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10</w:t>
            </w:r>
            <w:r>
              <w:rPr>
                <w:rFonts w:ascii="宋体" w:hAnsi="宋体"/>
                <w:b/>
                <w:sz w:val="24"/>
              </w:rPr>
              <w:t>.</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项目服务要求</w:t>
            </w:r>
            <w:r>
              <w:rPr>
                <w:rFonts w:ascii="宋体" w:hAnsi="宋体"/>
                <w:b/>
                <w:sz w:val="24"/>
              </w:rPr>
              <w:t>：</w:t>
            </w:r>
          </w:p>
        </w:tc>
      </w:tr>
      <w:tr>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w:t>
            </w:r>
            <w:r>
              <w:rPr>
                <w:rFonts w:ascii="宋体" w:hAnsi="宋体"/>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 w:val="24"/>
              </w:rPr>
            </w:pPr>
            <w:r>
              <w:rPr>
                <w:rFonts w:hint="eastAsia" w:ascii="宋体" w:hAnsi="宋体"/>
                <w:sz w:val="24"/>
              </w:rPr>
              <w:t>中标方负责协助招标方在中标方单位开展项目技术研究工作，并对招标方人员进行至少</w:t>
            </w:r>
            <w:r>
              <w:rPr>
                <w:rFonts w:ascii="宋体" w:hAnsi="宋体"/>
                <w:sz w:val="24"/>
              </w:rPr>
              <w:t>10课时的</w:t>
            </w:r>
            <w:r>
              <w:rPr>
                <w:rFonts w:hint="eastAsia" w:ascii="宋体" w:hAnsi="宋体"/>
                <w:sz w:val="24"/>
              </w:rPr>
              <w:t>研究内容课程</w:t>
            </w:r>
            <w:r>
              <w:rPr>
                <w:rFonts w:ascii="宋体" w:hAnsi="宋体"/>
                <w:sz w:val="24"/>
              </w:rPr>
              <w:t>培训。</w:t>
            </w:r>
          </w:p>
        </w:tc>
      </w:tr>
      <w:tr>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w:t>
            </w:r>
            <w:r>
              <w:rPr>
                <w:rFonts w:ascii="宋体" w:hAnsi="宋体"/>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本项目科技成果的知识产权必须归属中国航发航空科技股份有限公司，承接单位及其人员申报奖项需由中国航发航发科技审批。</w:t>
            </w:r>
          </w:p>
        </w:tc>
      </w:tr>
      <w:tr>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 w:val="24"/>
              </w:rPr>
            </w:pPr>
            <w:r>
              <w:rPr>
                <w:rFonts w:hint="eastAsia" w:ascii="宋体" w:hAnsi="宋体"/>
                <w:sz w:val="24"/>
              </w:rPr>
              <w:t>项目验收合格签字之日起一年内免费提供本项目相关的技术咨询服务</w:t>
            </w:r>
            <w:r>
              <w:rPr>
                <w:rFonts w:ascii="宋体" w:hAnsi="宋体"/>
                <w:sz w:val="24"/>
              </w:rPr>
              <w:t>。</w:t>
            </w:r>
          </w:p>
        </w:tc>
      </w:tr>
      <w:tr>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 w:val="24"/>
              </w:rPr>
            </w:pPr>
            <w:r>
              <w:rPr>
                <w:rFonts w:hint="eastAsia" w:ascii="宋体" w:hAnsi="宋体"/>
                <w:color w:val="000000" w:themeColor="text1"/>
                <w:sz w:val="24"/>
                <w14:textFill>
                  <w14:solidFill>
                    <w14:schemeClr w14:val="tx1"/>
                  </w14:solidFill>
                </w14:textFill>
              </w:rPr>
              <w:t>在技术服务期间外，询比价项目参与人应承诺服务质量不变，询比价项目参与人免费提供买方因需求变化而进行的技术微调或工艺优化服务，当涉及工艺技术重大升级或功能模块增加等产生实际费用事宜，双方应友好洽商，且投标方承诺给予买方最优惠的报价</w:t>
            </w:r>
          </w:p>
        </w:tc>
      </w:tr>
      <w:tr>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10.5</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在技术服务期间内，由询比价项目参与人负责上门提供售后技术支持。在服务期间内，服务做到</w:t>
            </w:r>
            <w:r>
              <w:rPr>
                <w:rFonts w:ascii="宋体" w:hAnsi="宋体"/>
                <w:color w:val="000000" w:themeColor="text1"/>
                <w:sz w:val="24"/>
                <w14:textFill>
                  <w14:solidFill>
                    <w14:schemeClr w14:val="tx1"/>
                  </w14:solidFill>
                </w14:textFill>
              </w:rPr>
              <w:t>4小时响应，</w:t>
            </w:r>
            <w:r>
              <w:rPr>
                <w:rFonts w:hint="eastAsia" w:ascii="宋体" w:hAnsi="宋体"/>
                <w:color w:val="000000" w:themeColor="text1"/>
                <w:sz w:val="24"/>
                <w14:textFill>
                  <w14:solidFill>
                    <w14:schemeClr w14:val="tx1"/>
                  </w14:solidFill>
                </w14:textFill>
              </w:rPr>
              <w:t>48</w:t>
            </w:r>
            <w:r>
              <w:rPr>
                <w:rFonts w:ascii="宋体" w:hAnsi="宋体"/>
                <w:color w:val="000000" w:themeColor="text1"/>
                <w:sz w:val="24"/>
                <w14:textFill>
                  <w14:solidFill>
                    <w14:schemeClr w14:val="tx1"/>
                  </w14:solidFill>
                </w14:textFill>
              </w:rPr>
              <w:t>小时到现场（或</w:t>
            </w:r>
            <w:r>
              <w:rPr>
                <w:rFonts w:hint="eastAsia" w:ascii="宋体" w:hAnsi="宋体"/>
                <w:color w:val="000000" w:themeColor="text1"/>
                <w:sz w:val="24"/>
                <w14:textFill>
                  <w14:solidFill>
                    <w14:schemeClr w14:val="tx1"/>
                  </w14:solidFill>
                </w14:textFill>
              </w:rPr>
              <w:t>一周</w:t>
            </w:r>
            <w:r>
              <w:rPr>
                <w:rFonts w:ascii="宋体" w:hAnsi="宋体"/>
                <w:color w:val="000000" w:themeColor="text1"/>
                <w:sz w:val="24"/>
                <w14:textFill>
                  <w14:solidFill>
                    <w14:schemeClr w14:val="tx1"/>
                  </w14:solidFill>
                </w14:textFill>
              </w:rPr>
              <w:t>解决问题）</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11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ind w:firstLine="241" w:firstLineChars="100"/>
              <w:rPr>
                <w:rFonts w:ascii="宋体" w:hAnsi="宋体"/>
                <w:b/>
                <w:sz w:val="24"/>
              </w:rPr>
            </w:pPr>
            <w:r>
              <w:rPr>
                <w:rFonts w:hint="eastAsia" w:ascii="宋体" w:hAnsi="宋体"/>
                <w:b/>
                <w:bCs/>
                <w:sz w:val="24"/>
              </w:rPr>
              <w:t>验收要求：</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11</w:t>
            </w:r>
            <w:r>
              <w:rPr>
                <w:rFonts w:ascii="宋体" w:hAnsi="宋体"/>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11</w:t>
            </w:r>
            <w:r>
              <w:rPr>
                <w:rFonts w:ascii="宋体" w:hAnsi="宋体"/>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项目验收由招标方组织，招标方按相关合同及技术协议内容中约定的技术指标对中标人提供的项目交付物和项目完成情况进行评价验收，由验收小组出具相应的验项目总结验收报告，并组织验收评审。</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highlight w:val="yellow"/>
              </w:rPr>
            </w:pPr>
            <w:r>
              <w:rPr>
                <w:rFonts w:hint="eastAsia" w:ascii="宋体" w:hAnsi="宋体"/>
                <w:sz w:val="24"/>
              </w:rPr>
              <w:t>11</w:t>
            </w:r>
            <w:r>
              <w:rPr>
                <w:rFonts w:ascii="宋体" w:hAnsi="宋体"/>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验收前交付物为最终可考核的软硬件成果，形式、数量如下（项目验收时应提供反映该项目主要研制过程的多媒体光盘）:</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asciiTheme="minorEastAsia" w:hAnsiTheme="minorEastAsia" w:eastAsiaTheme="minorEastAsia"/>
                <w:sz w:val="24"/>
              </w:rPr>
              <w:t>基于基于视觉的激光熔覆熔池在线监测技术分析报告一份</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asciiTheme="minorEastAsia" w:hAnsiTheme="minorEastAsia" w:eastAsiaTheme="minorEastAsia"/>
                <w:sz w:val="24"/>
              </w:rPr>
              <w:t>基于感应加热的残余应力控制技术分析报告一份</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cs="宋体"/>
                <w:bCs/>
                <w:kern w:val="0"/>
                <w:sz w:val="24"/>
              </w:rPr>
              <w:t>开口环和空气挡油圈激光熔覆</w:t>
            </w:r>
            <w:r>
              <w:rPr>
                <w:rFonts w:hint="eastAsia" w:asciiTheme="minorEastAsia" w:hAnsiTheme="minorEastAsia" w:eastAsiaTheme="minorEastAsia"/>
                <w:sz w:val="24"/>
              </w:rPr>
              <w:t>质量检测报告一份</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航空发动机环形件局部损伤修复控型控性技术研究总结报告一份</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在线监测装置1套</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局部加热装置1套</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熔池形态-温度成像一体化在线监测系统</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完成专利撰写</w:t>
            </w:r>
            <w:r>
              <w:rPr>
                <w:rFonts w:hint="eastAsia" w:ascii="宋体" w:hAnsi="宋体"/>
                <w:bCs/>
                <w:color w:val="000000" w:themeColor="text1"/>
                <w:sz w:val="24"/>
                <w:lang w:val="en-US" w:eastAsia="zh-CN"/>
                <w14:textFill>
                  <w14:solidFill>
                    <w14:schemeClr w14:val="tx1"/>
                  </w14:solidFill>
                </w14:textFill>
              </w:rPr>
              <w:t>1篇</w:t>
            </w:r>
          </w:p>
        </w:tc>
      </w:tr>
      <w:tr>
        <w:tblPrEx>
          <w:tblCellMar>
            <w:top w:w="0" w:type="dxa"/>
            <w:left w:w="108" w:type="dxa"/>
            <w:bottom w:w="0" w:type="dxa"/>
            <w:right w:w="108" w:type="dxa"/>
          </w:tblCellMar>
        </w:tblPrEx>
        <w:trPr>
          <w:trHeight w:val="52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11.4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验收地点：四川省成都市新都区蜀龙大道南段成发工业园。</w:t>
            </w:r>
          </w:p>
        </w:tc>
      </w:tr>
      <w:tr>
        <w:tblPrEx>
          <w:tblCellMar>
            <w:top w:w="0" w:type="dxa"/>
            <w:left w:w="108" w:type="dxa"/>
            <w:bottom w:w="0" w:type="dxa"/>
            <w:right w:w="108" w:type="dxa"/>
          </w:tblCellMar>
        </w:tblPrEx>
        <w:trPr>
          <w:trHeight w:val="81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1</w:t>
            </w:r>
            <w:r>
              <w:rPr>
                <w:rFonts w:hint="eastAsia"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询比价项目参与人必须对本标书技术条款作出技术参数偏离表和对一些技术要求的承诺表态，任何对具体内容回避答复或不响应</w:t>
            </w:r>
            <w:r>
              <w:rPr>
                <w:rFonts w:ascii="宋体" w:hAnsi="宋体"/>
                <w:b/>
                <w:sz w:val="24"/>
              </w:rPr>
              <w:t>,</w:t>
            </w:r>
            <w:r>
              <w:rPr>
                <w:rFonts w:hint="eastAsia" w:ascii="宋体" w:hAnsi="宋体"/>
                <w:b/>
                <w:sz w:val="24"/>
              </w:rPr>
              <w:t>都可视为对该条款的偏离。</w:t>
            </w:r>
          </w:p>
        </w:tc>
      </w:tr>
      <w:tr>
        <w:tblPrEx>
          <w:tblCellMar>
            <w:top w:w="0" w:type="dxa"/>
            <w:left w:w="108" w:type="dxa"/>
            <w:bottom w:w="0" w:type="dxa"/>
            <w:right w:w="108" w:type="dxa"/>
          </w:tblCellMar>
        </w:tblPrEx>
        <w:trPr>
          <w:trHeight w:val="71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1</w:t>
            </w:r>
            <w:r>
              <w:rPr>
                <w:rFonts w:hint="eastAsia" w:ascii="宋体" w:hAnsi="宋体"/>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投标书应以中文编写，签字，投标书应有中文目录，内容按目录顺序汇册。</w:t>
            </w:r>
          </w:p>
        </w:tc>
      </w:tr>
    </w:tbl>
    <w:p/>
    <w:p>
      <w:r>
        <w:rPr/>
        <w:br w:type="textWrapping" w:clear="all"/>
      </w:r>
    </w:p>
    <w:p/>
    <w:p/>
    <w:p/>
    <w:p/>
    <w:p/>
    <w:p>
      <w:pPr>
        <w:widowControl/>
        <w:jc w:val="left"/>
      </w:pPr>
      <w:r>
        <w:br w:type="page"/>
      </w:r>
    </w:p>
    <w:p/>
    <w:p>
      <w:pPr>
        <w:pStyle w:val="2"/>
        <w:numPr>
          <w:ilvl w:val="0"/>
          <w:numId w:val="0"/>
        </w:numPr>
        <w:ind w:left="480"/>
        <w:jc w:val="center"/>
      </w:pPr>
      <w:r>
        <w:rPr>
          <w:rFonts w:hint="eastAsia"/>
        </w:rPr>
        <w:t>第四部分附件</w:t>
      </w:r>
    </w:p>
    <w:p>
      <w:pPr>
        <w:pStyle w:val="3"/>
      </w:pPr>
      <w:r>
        <w:rPr>
          <w:rFonts w:hint="eastAsia"/>
        </w:rPr>
        <w:t>附件</w:t>
      </w:r>
      <w:r>
        <w:t>1</w:t>
      </w:r>
      <w:r>
        <w:rPr>
          <w:rFonts w:hint="eastAsia"/>
        </w:rPr>
        <w:t>：</w:t>
      </w:r>
    </w:p>
    <w:p>
      <w:pPr>
        <w:spacing w:line="400" w:lineRule="exact"/>
        <w:ind w:firstLine="602" w:firstLineChars="200"/>
        <w:jc w:val="center"/>
        <w:rPr>
          <w:b/>
          <w:spacing w:val="10"/>
          <w:sz w:val="28"/>
          <w:szCs w:val="28"/>
        </w:rPr>
      </w:pPr>
      <w:r>
        <w:rPr>
          <w:rFonts w:hint="eastAsia"/>
          <w:b/>
          <w:spacing w:val="10"/>
          <w:sz w:val="28"/>
          <w:szCs w:val="28"/>
        </w:rPr>
        <w:t>询比价书</w:t>
      </w:r>
    </w:p>
    <w:p>
      <w:pPr>
        <w:spacing w:line="400" w:lineRule="exact"/>
        <w:rPr>
          <w:spacing w:val="10"/>
          <w:sz w:val="24"/>
        </w:rPr>
      </w:pPr>
    </w:p>
    <w:p>
      <w:pPr>
        <w:spacing w:line="400" w:lineRule="exact"/>
        <w:rPr>
          <w:spacing w:val="10"/>
          <w:sz w:val="24"/>
        </w:rPr>
      </w:pPr>
      <w:r>
        <w:rPr>
          <w:rFonts w:hint="eastAsia"/>
          <w:spacing w:val="10"/>
          <w:sz w:val="24"/>
        </w:rPr>
        <w:t>致：</w:t>
      </w:r>
      <w:r>
        <w:rPr>
          <w:rFonts w:hint="eastAsia" w:ascii="宋体" w:hAnsi="宋体" w:cs="宋体"/>
          <w:kern w:val="0"/>
          <w:sz w:val="24"/>
        </w:rPr>
        <w:t>中国航发航空科技股份有限公司</w:t>
      </w:r>
      <w:r>
        <w:rPr>
          <w:rFonts w:hint="eastAsia"/>
          <w:spacing w:val="10"/>
          <w:sz w:val="24"/>
        </w:rPr>
        <w:t>：</w:t>
      </w:r>
    </w:p>
    <w:p>
      <w:pPr>
        <w:spacing w:line="400" w:lineRule="exact"/>
        <w:ind w:firstLine="520" w:firstLineChars="200"/>
        <w:rPr>
          <w:spacing w:val="10"/>
          <w:sz w:val="24"/>
        </w:rPr>
      </w:pPr>
      <w:r>
        <w:rPr>
          <w:rFonts w:hint="eastAsia"/>
          <w:spacing w:val="10"/>
          <w:sz w:val="24"/>
        </w:rPr>
        <w:t>根据贵方为</w:t>
      </w:r>
      <w:r>
        <w:rPr>
          <w:rFonts w:hint="eastAsia"/>
          <w:spacing w:val="10"/>
          <w:sz w:val="24"/>
          <w:u w:val="single"/>
        </w:rPr>
        <w:t xml:space="preserve">              </w:t>
      </w:r>
      <w:r>
        <w:rPr>
          <w:rFonts w:hint="eastAsia"/>
          <w:spacing w:val="10"/>
          <w:sz w:val="24"/>
        </w:rPr>
        <w:t>项目询比价采购项目及服务的询价单</w:t>
      </w:r>
    </w:p>
    <w:p>
      <w:pPr>
        <w:spacing w:line="400" w:lineRule="exact"/>
        <w:ind w:firstLine="260" w:firstLineChars="100"/>
        <w:rPr>
          <w:spacing w:val="10"/>
          <w:sz w:val="24"/>
        </w:rPr>
      </w:pPr>
      <w:r>
        <w:rPr>
          <w:rFonts w:hint="eastAsia"/>
          <w:spacing w:val="10"/>
          <w:sz w:val="24"/>
          <w:u w:val="single"/>
        </w:rPr>
        <w:t>（投标文件编号）</w:t>
      </w:r>
      <w:r>
        <w:rPr>
          <w:rFonts w:hint="eastAsia"/>
          <w:spacing w:val="10"/>
          <w:sz w:val="24"/>
        </w:rPr>
        <w:t>，签字代表</w:t>
      </w:r>
      <w:r>
        <w:rPr>
          <w:rFonts w:hint="eastAsia"/>
          <w:spacing w:val="10"/>
          <w:sz w:val="24"/>
          <w:u w:val="single"/>
        </w:rPr>
        <w:t>（全名、职务）</w:t>
      </w:r>
      <w:r>
        <w:rPr>
          <w:rFonts w:hint="eastAsia"/>
          <w:spacing w:val="10"/>
          <w:sz w:val="24"/>
        </w:rPr>
        <w:t>经正式授权并代表询比价项目参与人（询比价项目参与人名称、地址）对项目进行询比价。为此，我们提交：</w:t>
      </w:r>
    </w:p>
    <w:p>
      <w:pPr>
        <w:spacing w:line="400" w:lineRule="exact"/>
        <w:ind w:firstLine="520" w:firstLineChars="200"/>
        <w:rPr>
          <w:spacing w:val="10"/>
          <w:sz w:val="24"/>
        </w:rPr>
      </w:pPr>
      <w:r>
        <w:rPr>
          <w:rFonts w:hint="eastAsia"/>
          <w:spacing w:val="10"/>
          <w:sz w:val="24"/>
        </w:rPr>
        <w:t>据此函，签字代表宣布同意如下：</w:t>
      </w:r>
    </w:p>
    <w:p>
      <w:pPr>
        <w:spacing w:line="400" w:lineRule="exact"/>
        <w:ind w:firstLine="520" w:firstLineChars="200"/>
        <w:rPr>
          <w:spacing w:val="10"/>
          <w:sz w:val="24"/>
        </w:rPr>
      </w:pPr>
      <w:r>
        <w:rPr>
          <w:rFonts w:hint="eastAsia"/>
          <w:spacing w:val="10"/>
          <w:sz w:val="24"/>
        </w:rPr>
        <w:t>1.所附开标一览表中规定的应提供和交付的项目询比价总价为</w:t>
      </w:r>
    </w:p>
    <w:p>
      <w:pPr>
        <w:spacing w:line="400" w:lineRule="exact"/>
        <w:ind w:firstLine="520" w:firstLineChars="200"/>
        <w:rPr>
          <w:spacing w:val="10"/>
          <w:sz w:val="24"/>
        </w:rPr>
      </w:pPr>
      <w:r>
        <w:rPr>
          <w:rFonts w:hint="eastAsia"/>
          <w:spacing w:val="10"/>
          <w:sz w:val="24"/>
        </w:rPr>
        <w:t>（注明币种），即（大写）</w:t>
      </w:r>
    </w:p>
    <w:p>
      <w:pPr>
        <w:spacing w:line="400" w:lineRule="exact"/>
        <w:ind w:firstLine="520" w:firstLineChars="200"/>
        <w:rPr>
          <w:spacing w:val="10"/>
          <w:sz w:val="24"/>
        </w:rPr>
      </w:pPr>
      <w:r>
        <w:rPr>
          <w:rFonts w:hint="eastAsia"/>
          <w:spacing w:val="10"/>
          <w:sz w:val="24"/>
        </w:rPr>
        <w:t>2.询比价项目参与人将按投标文件的规定履行合同责任和义务。</w:t>
      </w:r>
    </w:p>
    <w:p>
      <w:pPr>
        <w:spacing w:line="400" w:lineRule="exact"/>
        <w:ind w:firstLine="520" w:firstLineChars="200"/>
        <w:rPr>
          <w:spacing w:val="10"/>
          <w:sz w:val="24"/>
        </w:rPr>
      </w:pPr>
      <w:r>
        <w:rPr>
          <w:rFonts w:hint="eastAsia"/>
          <w:spacing w:val="10"/>
          <w:sz w:val="24"/>
        </w:rPr>
        <w:t>3.询比价项目参与人已详细审查全部投标文件，包括修改文件（如果有的话）以及全部参考资料和有关附件。我们完全理解并同意放弃对这方面有不明及误解的权力。</w:t>
      </w:r>
    </w:p>
    <w:p>
      <w:pPr>
        <w:spacing w:line="400" w:lineRule="exact"/>
        <w:ind w:firstLine="520" w:firstLineChars="200"/>
        <w:rPr>
          <w:spacing w:val="10"/>
          <w:sz w:val="24"/>
        </w:rPr>
      </w:pPr>
      <w:r>
        <w:rPr>
          <w:rFonts w:hint="eastAsia"/>
          <w:spacing w:val="10"/>
          <w:sz w:val="24"/>
        </w:rPr>
        <w:t>4.其询比价自询比价日起有效期为个日历日。</w:t>
      </w:r>
    </w:p>
    <w:p>
      <w:pPr>
        <w:spacing w:line="400" w:lineRule="exact"/>
        <w:ind w:firstLine="520" w:firstLineChars="200"/>
        <w:rPr>
          <w:spacing w:val="10"/>
          <w:sz w:val="24"/>
        </w:rPr>
      </w:pPr>
      <w:r>
        <w:rPr>
          <w:rFonts w:hint="eastAsia"/>
          <w:spacing w:val="10"/>
          <w:sz w:val="24"/>
        </w:rPr>
        <w:t>5.询比价项目参与人同意提供按照贵方可能要求的与其询比价有关的一切数据或资料，完全理解不一定要接受最低价的投标。</w:t>
      </w:r>
    </w:p>
    <w:p>
      <w:pPr>
        <w:spacing w:line="400" w:lineRule="exact"/>
        <w:ind w:firstLine="520" w:firstLineChars="200"/>
        <w:rPr>
          <w:spacing w:val="10"/>
          <w:sz w:val="24"/>
        </w:rPr>
      </w:pPr>
      <w:r>
        <w:rPr>
          <w:rFonts w:hint="eastAsia"/>
          <w:spacing w:val="10"/>
          <w:sz w:val="24"/>
        </w:rPr>
        <w:t>6.同意向贵方提供贵方可能要求的与本询比价有关的任何证据和资料。</w:t>
      </w:r>
    </w:p>
    <w:p>
      <w:pPr>
        <w:spacing w:line="400" w:lineRule="exact"/>
        <w:ind w:firstLine="520" w:firstLineChars="200"/>
        <w:rPr>
          <w:spacing w:val="10"/>
          <w:sz w:val="24"/>
        </w:rPr>
      </w:pPr>
      <w:r>
        <w:rPr>
          <w:rFonts w:hint="eastAsia"/>
          <w:spacing w:val="10"/>
          <w:sz w:val="24"/>
        </w:rPr>
        <w:t>与本询比价有关的一切正式往来通讯请寄：</w:t>
      </w:r>
    </w:p>
    <w:p>
      <w:pPr>
        <w:spacing w:line="400" w:lineRule="exact"/>
        <w:rPr>
          <w:spacing w:val="10"/>
          <w:sz w:val="24"/>
        </w:rPr>
      </w:pPr>
      <w:r>
        <w:rPr>
          <w:rFonts w:hint="eastAsia"/>
          <w:spacing w:val="10"/>
          <w:sz w:val="24"/>
        </w:rPr>
        <w:t>地址邮编</w:t>
      </w:r>
    </w:p>
    <w:p>
      <w:pPr>
        <w:spacing w:line="400" w:lineRule="exact"/>
        <w:rPr>
          <w:spacing w:val="10"/>
          <w:sz w:val="24"/>
          <w:u w:val="single"/>
        </w:rPr>
      </w:pPr>
      <w:r>
        <w:rPr>
          <w:rFonts w:hint="eastAsia"/>
          <w:spacing w:val="10"/>
          <w:sz w:val="24"/>
        </w:rPr>
        <w:t>电话传真</w:t>
      </w:r>
    </w:p>
    <w:p>
      <w:pPr>
        <w:spacing w:line="400" w:lineRule="exact"/>
        <w:rPr>
          <w:spacing w:val="10"/>
          <w:sz w:val="24"/>
          <w:u w:val="single"/>
        </w:rPr>
      </w:pPr>
    </w:p>
    <w:p>
      <w:pPr>
        <w:spacing w:line="400" w:lineRule="exact"/>
        <w:rPr>
          <w:spacing w:val="10"/>
          <w:sz w:val="24"/>
        </w:rPr>
      </w:pPr>
      <w:r>
        <w:rPr>
          <w:rFonts w:hint="eastAsia"/>
          <w:spacing w:val="10"/>
          <w:sz w:val="24"/>
        </w:rPr>
        <w:t>询比价项目参与人开户银行和账号：</w:t>
      </w:r>
    </w:p>
    <w:p>
      <w:pPr>
        <w:spacing w:line="400" w:lineRule="exact"/>
        <w:rPr>
          <w:spacing w:val="10"/>
          <w:sz w:val="24"/>
        </w:rPr>
      </w:pPr>
      <w:r>
        <w:rPr>
          <w:rFonts w:hint="eastAsia"/>
          <w:spacing w:val="10"/>
          <w:sz w:val="24"/>
        </w:rPr>
        <w:t>询比价项目参与人代表姓名、职务（印刷体）：</w:t>
      </w:r>
    </w:p>
    <w:p>
      <w:pPr>
        <w:spacing w:line="400" w:lineRule="exact"/>
        <w:rPr>
          <w:spacing w:val="10"/>
          <w:sz w:val="24"/>
          <w:u w:val="single"/>
        </w:rPr>
      </w:pPr>
      <w:r>
        <w:rPr>
          <w:rFonts w:hint="eastAsia"/>
          <w:spacing w:val="10"/>
          <w:sz w:val="24"/>
        </w:rPr>
        <w:t>询比价项目参与人名称：</w:t>
      </w:r>
      <w:bookmarkStart w:id="2" w:name="OLE_LINK3"/>
      <w:bookmarkEnd w:id="2"/>
      <w:bookmarkStart w:id="3" w:name="OLE_LINK4"/>
      <w:bookmarkEnd w:id="3"/>
    </w:p>
    <w:p>
      <w:pPr>
        <w:spacing w:line="400" w:lineRule="exact"/>
        <w:rPr>
          <w:spacing w:val="10"/>
          <w:sz w:val="24"/>
        </w:rPr>
      </w:pPr>
      <w:r>
        <w:rPr>
          <w:rFonts w:hint="eastAsia"/>
          <w:spacing w:val="10"/>
          <w:sz w:val="24"/>
        </w:rPr>
        <w:t>（公章）</w:t>
      </w:r>
    </w:p>
    <w:p>
      <w:pPr>
        <w:spacing w:line="400" w:lineRule="exact"/>
        <w:rPr>
          <w:spacing w:val="10"/>
          <w:sz w:val="24"/>
        </w:rPr>
      </w:pPr>
      <w:r>
        <w:rPr>
          <w:rFonts w:hint="eastAsia"/>
          <w:spacing w:val="10"/>
          <w:sz w:val="24"/>
        </w:rPr>
        <w:t>日期：年月日</w:t>
      </w:r>
    </w:p>
    <w:p>
      <w:pPr>
        <w:spacing w:line="400" w:lineRule="exact"/>
        <w:rPr>
          <w:spacing w:val="10"/>
          <w:sz w:val="24"/>
        </w:rPr>
      </w:pPr>
    </w:p>
    <w:p>
      <w:pPr>
        <w:spacing w:line="400" w:lineRule="exact"/>
        <w:rPr>
          <w:spacing w:val="10"/>
          <w:sz w:val="24"/>
        </w:rPr>
      </w:pPr>
      <w:r>
        <w:rPr>
          <w:rFonts w:hint="eastAsia"/>
          <w:spacing w:val="10"/>
          <w:sz w:val="24"/>
        </w:rPr>
        <w:t>授权代表签字：</w:t>
      </w:r>
    </w:p>
    <w:p>
      <w:pPr>
        <w:widowControl/>
        <w:jc w:val="left"/>
        <w:rPr>
          <w:spacing w:val="10"/>
          <w:sz w:val="24"/>
        </w:rPr>
      </w:pPr>
      <w:r>
        <w:rPr>
          <w:spacing w:val="10"/>
          <w:sz w:val="24"/>
        </w:rPr>
        <w:br w:type="page"/>
      </w:r>
    </w:p>
    <w:p>
      <w:pPr>
        <w:pStyle w:val="3"/>
      </w:pPr>
      <w:r>
        <w:rPr>
          <w:rFonts w:hint="eastAsia"/>
        </w:rPr>
        <w:t>附件2：</w:t>
      </w:r>
    </w:p>
    <w:p>
      <w:pPr>
        <w:spacing w:line="400" w:lineRule="exact"/>
        <w:ind w:firstLine="602" w:firstLineChars="200"/>
        <w:jc w:val="center"/>
        <w:rPr>
          <w:b/>
          <w:spacing w:val="10"/>
          <w:sz w:val="28"/>
          <w:szCs w:val="28"/>
        </w:rPr>
      </w:pPr>
      <w:r>
        <w:rPr>
          <w:rFonts w:hint="eastAsia"/>
          <w:b/>
          <w:spacing w:val="10"/>
          <w:sz w:val="28"/>
          <w:szCs w:val="28"/>
        </w:rPr>
        <w:t>开标一览表</w:t>
      </w:r>
    </w:p>
    <w:p>
      <w:pPr>
        <w:spacing w:line="400" w:lineRule="exact"/>
        <w:rPr>
          <w:spacing w:val="10"/>
          <w:sz w:val="24"/>
        </w:rPr>
      </w:pPr>
    </w:p>
    <w:p>
      <w:pPr>
        <w:spacing w:line="400" w:lineRule="exact"/>
        <w:rPr>
          <w:spacing w:val="10"/>
          <w:sz w:val="24"/>
        </w:rPr>
      </w:pPr>
    </w:p>
    <w:p>
      <w:pPr>
        <w:spacing w:line="400" w:lineRule="exact"/>
        <w:rPr>
          <w:spacing w:val="10"/>
          <w:sz w:val="24"/>
        </w:rPr>
      </w:pPr>
      <w:r>
        <w:rPr>
          <w:rFonts w:hint="eastAsia"/>
          <w:spacing w:val="10"/>
          <w:sz w:val="24"/>
        </w:rPr>
        <w:t>询比价项目参与人名称：</w:t>
      </w:r>
    </w:p>
    <w:p>
      <w:pPr>
        <w:spacing w:line="400" w:lineRule="exact"/>
        <w:rPr>
          <w:spacing w:val="10"/>
          <w:sz w:val="24"/>
          <w:u w:val="single"/>
        </w:rPr>
      </w:pPr>
      <w:r>
        <w:rPr>
          <w:rFonts w:hint="eastAsia"/>
          <w:spacing w:val="10"/>
          <w:sz w:val="24"/>
        </w:rPr>
        <w:t>询比价编号：</w:t>
      </w:r>
    </w:p>
    <w:p>
      <w:pPr>
        <w:spacing w:line="400" w:lineRule="exact"/>
        <w:rPr>
          <w:spacing w:val="10"/>
          <w:sz w:val="24"/>
          <w:u w:val="single"/>
        </w:rPr>
      </w:pPr>
    </w:p>
    <w:p>
      <w:pPr>
        <w:spacing w:line="400" w:lineRule="exact"/>
        <w:rPr>
          <w:spacing w:val="10"/>
          <w:sz w:val="24"/>
          <w:u w:val="single"/>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085"/>
        <w:gridCol w:w="843"/>
        <w:gridCol w:w="2289"/>
        <w:gridCol w:w="96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43" w:type="pct"/>
            <w:vMerge w:val="restart"/>
            <w:vAlign w:val="center"/>
          </w:tcPr>
          <w:p>
            <w:pPr>
              <w:spacing w:line="400" w:lineRule="exact"/>
              <w:jc w:val="center"/>
              <w:rPr>
                <w:spacing w:val="10"/>
                <w:sz w:val="24"/>
              </w:rPr>
            </w:pPr>
            <w:r>
              <w:rPr>
                <w:rFonts w:hint="eastAsia"/>
                <w:spacing w:val="10"/>
                <w:sz w:val="24"/>
              </w:rPr>
              <w:t>项目名称</w:t>
            </w:r>
          </w:p>
        </w:tc>
        <w:tc>
          <w:tcPr>
            <w:tcW w:w="636" w:type="pct"/>
            <w:vMerge w:val="restart"/>
            <w:vAlign w:val="center"/>
          </w:tcPr>
          <w:p>
            <w:pPr>
              <w:spacing w:line="400" w:lineRule="exact"/>
              <w:jc w:val="center"/>
              <w:rPr>
                <w:spacing w:val="10"/>
                <w:sz w:val="24"/>
              </w:rPr>
            </w:pPr>
            <w:r>
              <w:rPr>
                <w:rFonts w:hint="eastAsia"/>
                <w:spacing w:val="10"/>
                <w:sz w:val="24"/>
              </w:rPr>
              <w:t>型号</w:t>
            </w:r>
          </w:p>
          <w:p>
            <w:pPr>
              <w:spacing w:line="400" w:lineRule="exact"/>
              <w:jc w:val="center"/>
              <w:rPr>
                <w:spacing w:val="10"/>
                <w:sz w:val="24"/>
              </w:rPr>
            </w:pPr>
            <w:r>
              <w:rPr>
                <w:rFonts w:hint="eastAsia"/>
                <w:spacing w:val="10"/>
                <w:sz w:val="24"/>
              </w:rPr>
              <w:t>规格</w:t>
            </w:r>
          </w:p>
        </w:tc>
        <w:tc>
          <w:tcPr>
            <w:tcW w:w="494" w:type="pct"/>
            <w:vMerge w:val="restart"/>
            <w:vAlign w:val="center"/>
          </w:tcPr>
          <w:p>
            <w:pPr>
              <w:spacing w:line="400" w:lineRule="exact"/>
              <w:jc w:val="center"/>
              <w:rPr>
                <w:spacing w:val="10"/>
                <w:sz w:val="24"/>
              </w:rPr>
            </w:pPr>
            <w:r>
              <w:rPr>
                <w:rFonts w:hint="eastAsia"/>
                <w:spacing w:val="10"/>
                <w:sz w:val="24"/>
              </w:rPr>
              <w:t>数量</w:t>
            </w:r>
          </w:p>
        </w:tc>
        <w:tc>
          <w:tcPr>
            <w:tcW w:w="1342" w:type="pct"/>
            <w:vAlign w:val="center"/>
          </w:tcPr>
          <w:p>
            <w:pPr>
              <w:spacing w:line="400" w:lineRule="exact"/>
              <w:jc w:val="center"/>
              <w:rPr>
                <w:spacing w:val="10"/>
                <w:sz w:val="24"/>
              </w:rPr>
            </w:pPr>
            <w:r>
              <w:rPr>
                <w:rFonts w:hint="eastAsia"/>
                <w:spacing w:val="10"/>
                <w:sz w:val="24"/>
              </w:rPr>
              <w:t>投标总价</w:t>
            </w:r>
            <w:r>
              <w:rPr>
                <w:spacing w:val="10"/>
                <w:sz w:val="24"/>
              </w:rPr>
              <w:t>(</w:t>
            </w:r>
            <w:r>
              <w:rPr>
                <w:rFonts w:hint="eastAsia"/>
                <w:spacing w:val="10"/>
                <w:sz w:val="24"/>
              </w:rPr>
              <w:t>人民币)</w:t>
            </w:r>
          </w:p>
        </w:tc>
        <w:tc>
          <w:tcPr>
            <w:tcW w:w="565" w:type="pct"/>
            <w:vMerge w:val="restart"/>
            <w:vAlign w:val="center"/>
          </w:tcPr>
          <w:p>
            <w:pPr>
              <w:spacing w:line="400" w:lineRule="exact"/>
              <w:jc w:val="center"/>
              <w:rPr>
                <w:spacing w:val="10"/>
                <w:sz w:val="24"/>
              </w:rPr>
            </w:pPr>
            <w:r>
              <w:rPr>
                <w:rFonts w:hint="eastAsia"/>
                <w:spacing w:val="10"/>
                <w:sz w:val="24"/>
              </w:rPr>
              <w:t>交货期</w:t>
            </w:r>
          </w:p>
        </w:tc>
        <w:tc>
          <w:tcPr>
            <w:tcW w:w="919" w:type="pct"/>
            <w:vMerge w:val="restart"/>
            <w:vAlign w:val="center"/>
          </w:tcPr>
          <w:p>
            <w:pPr>
              <w:spacing w:line="400" w:lineRule="exact"/>
              <w:jc w:val="center"/>
              <w:rPr>
                <w:spacing w:val="10"/>
                <w:sz w:val="24"/>
              </w:rPr>
            </w:pPr>
            <w:r>
              <w:rPr>
                <w:rFonts w:hint="eastAsia"/>
                <w:spacing w:val="10"/>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43" w:type="pct"/>
            <w:vMerge w:val="continue"/>
            <w:vAlign w:val="center"/>
          </w:tcPr>
          <w:p>
            <w:pPr>
              <w:spacing w:line="400" w:lineRule="exact"/>
              <w:jc w:val="center"/>
              <w:rPr>
                <w:spacing w:val="10"/>
                <w:sz w:val="24"/>
              </w:rPr>
            </w:pPr>
          </w:p>
        </w:tc>
        <w:tc>
          <w:tcPr>
            <w:tcW w:w="636" w:type="pct"/>
            <w:vMerge w:val="continue"/>
          </w:tcPr>
          <w:p>
            <w:pPr>
              <w:spacing w:line="400" w:lineRule="exact"/>
              <w:jc w:val="center"/>
              <w:rPr>
                <w:spacing w:val="10"/>
                <w:sz w:val="24"/>
              </w:rPr>
            </w:pPr>
          </w:p>
        </w:tc>
        <w:tc>
          <w:tcPr>
            <w:tcW w:w="494" w:type="pct"/>
            <w:vMerge w:val="continue"/>
            <w:vAlign w:val="center"/>
          </w:tcPr>
          <w:p>
            <w:pPr>
              <w:spacing w:line="400" w:lineRule="exact"/>
              <w:jc w:val="center"/>
              <w:rPr>
                <w:spacing w:val="10"/>
                <w:sz w:val="24"/>
              </w:rPr>
            </w:pPr>
          </w:p>
        </w:tc>
        <w:tc>
          <w:tcPr>
            <w:tcW w:w="1342" w:type="pct"/>
            <w:vAlign w:val="center"/>
          </w:tcPr>
          <w:p>
            <w:pPr>
              <w:spacing w:line="400" w:lineRule="exact"/>
              <w:jc w:val="center"/>
              <w:rPr>
                <w:spacing w:val="10"/>
                <w:sz w:val="24"/>
              </w:rPr>
            </w:pPr>
            <w:r>
              <w:rPr>
                <w:rFonts w:hint="eastAsia"/>
                <w:spacing w:val="10"/>
                <w:sz w:val="24"/>
              </w:rPr>
              <w:t>招标方现场价 (包括一切税费、材料费、设备费等)</w:t>
            </w:r>
          </w:p>
        </w:tc>
        <w:tc>
          <w:tcPr>
            <w:tcW w:w="565" w:type="pct"/>
            <w:vMerge w:val="continue"/>
            <w:vAlign w:val="center"/>
          </w:tcPr>
          <w:p>
            <w:pPr>
              <w:spacing w:line="400" w:lineRule="exact"/>
              <w:jc w:val="center"/>
              <w:rPr>
                <w:spacing w:val="10"/>
                <w:sz w:val="24"/>
              </w:rPr>
            </w:pPr>
          </w:p>
        </w:tc>
        <w:tc>
          <w:tcPr>
            <w:tcW w:w="919" w:type="pct"/>
            <w:vMerge w:val="continue"/>
            <w:vAlign w:val="center"/>
          </w:tcPr>
          <w:p>
            <w:pPr>
              <w:spacing w:line="40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043" w:type="pct"/>
            <w:vAlign w:val="center"/>
          </w:tcPr>
          <w:p>
            <w:pPr>
              <w:spacing w:line="400" w:lineRule="exact"/>
              <w:jc w:val="center"/>
              <w:rPr>
                <w:spacing w:val="10"/>
                <w:sz w:val="24"/>
              </w:rPr>
            </w:pPr>
            <w:r>
              <w:rPr>
                <w:rFonts w:hint="eastAsia"/>
                <w:spacing w:val="10"/>
                <w:sz w:val="24"/>
              </w:rPr>
              <w:t>XXXX</w:t>
            </w:r>
          </w:p>
        </w:tc>
        <w:tc>
          <w:tcPr>
            <w:tcW w:w="636" w:type="pct"/>
            <w:vAlign w:val="center"/>
          </w:tcPr>
          <w:p>
            <w:pPr>
              <w:spacing w:line="400" w:lineRule="exact"/>
              <w:jc w:val="center"/>
              <w:rPr>
                <w:spacing w:val="10"/>
                <w:sz w:val="24"/>
              </w:rPr>
            </w:pPr>
            <w:r>
              <w:rPr>
                <w:rFonts w:hint="eastAsia"/>
                <w:spacing w:val="10"/>
                <w:sz w:val="24"/>
              </w:rPr>
              <w:t>1次</w:t>
            </w:r>
          </w:p>
        </w:tc>
        <w:tc>
          <w:tcPr>
            <w:tcW w:w="494" w:type="pct"/>
            <w:vAlign w:val="center"/>
          </w:tcPr>
          <w:p>
            <w:pPr>
              <w:spacing w:line="400" w:lineRule="exact"/>
              <w:jc w:val="center"/>
              <w:rPr>
                <w:spacing w:val="10"/>
                <w:sz w:val="24"/>
              </w:rPr>
            </w:pPr>
            <w:r>
              <w:rPr>
                <w:rFonts w:hint="eastAsia"/>
                <w:spacing w:val="10"/>
                <w:sz w:val="24"/>
              </w:rPr>
              <w:t>1</w:t>
            </w:r>
          </w:p>
        </w:tc>
        <w:tc>
          <w:tcPr>
            <w:tcW w:w="1342" w:type="pct"/>
            <w:vAlign w:val="center"/>
          </w:tcPr>
          <w:p>
            <w:pPr>
              <w:spacing w:line="400" w:lineRule="exact"/>
              <w:jc w:val="center"/>
              <w:rPr>
                <w:color w:val="FF0000"/>
                <w:spacing w:val="10"/>
                <w:sz w:val="24"/>
              </w:rPr>
            </w:pPr>
          </w:p>
        </w:tc>
        <w:tc>
          <w:tcPr>
            <w:tcW w:w="565" w:type="pct"/>
            <w:vAlign w:val="center"/>
          </w:tcPr>
          <w:p>
            <w:pPr>
              <w:spacing w:line="400" w:lineRule="exact"/>
              <w:jc w:val="center"/>
              <w:rPr>
                <w:spacing w:val="10"/>
                <w:sz w:val="24"/>
              </w:rPr>
            </w:pPr>
          </w:p>
        </w:tc>
        <w:tc>
          <w:tcPr>
            <w:tcW w:w="919" w:type="pct"/>
            <w:vAlign w:val="center"/>
          </w:tcPr>
          <w:p>
            <w:pPr>
              <w:spacing w:line="400" w:lineRule="exact"/>
              <w:jc w:val="center"/>
              <w:rPr>
                <w:spacing w:val="10"/>
                <w:sz w:val="24"/>
              </w:rPr>
            </w:pPr>
          </w:p>
        </w:tc>
      </w:tr>
    </w:tbl>
    <w:p>
      <w:pPr>
        <w:spacing w:line="400" w:lineRule="exact"/>
        <w:rPr>
          <w:b/>
          <w:spacing w:val="10"/>
          <w:sz w:val="24"/>
        </w:rPr>
      </w:pPr>
    </w:p>
    <w:p>
      <w:pPr>
        <w:spacing w:line="400" w:lineRule="exact"/>
        <w:rPr>
          <w:spacing w:val="10"/>
          <w:sz w:val="24"/>
        </w:rPr>
      </w:pP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附件3：</w:t>
      </w:r>
    </w:p>
    <w:p>
      <w:pPr>
        <w:jc w:val="center"/>
      </w:pPr>
      <w:r>
        <w:rPr>
          <w:rFonts w:eastAsia="黑体"/>
          <w:sz w:val="32"/>
          <w:szCs w:val="32"/>
        </w:rPr>
        <w:t>项目简表</w:t>
      </w:r>
    </w:p>
    <w:tbl>
      <w:tblPr>
        <w:tblStyle w:val="28"/>
        <w:tblW w:w="50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5" w:type="pct"/>
            <w:vAlign w:val="center"/>
          </w:tcPr>
          <w:p>
            <w:pPr>
              <w:snapToGrid w:val="0"/>
              <w:spacing w:line="300" w:lineRule="auto"/>
              <w:jc w:val="center"/>
              <w:rPr>
                <w:rFonts w:eastAsia="仿宋_GB2312"/>
                <w:b/>
                <w:szCs w:val="21"/>
              </w:rPr>
            </w:pPr>
            <w:r>
              <w:rPr>
                <w:rFonts w:eastAsia="仿宋_GB2312"/>
                <w:b/>
                <w:szCs w:val="21"/>
              </w:rPr>
              <w:t>项目名称</w:t>
            </w:r>
          </w:p>
        </w:tc>
        <w:tc>
          <w:tcPr>
            <w:tcW w:w="4345" w:type="pct"/>
            <w:gridSpan w:val="16"/>
            <w:vAlign w:val="center"/>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pPr>
              <w:snapToGrid w:val="0"/>
              <w:spacing w:line="300" w:lineRule="auto"/>
              <w:jc w:val="center"/>
              <w:rPr>
                <w:rFonts w:eastAsia="仿宋_GB2312"/>
                <w:b/>
                <w:szCs w:val="21"/>
              </w:rPr>
            </w:pPr>
            <w:r>
              <w:rPr>
                <w:rFonts w:eastAsia="仿宋_GB2312"/>
                <w:b/>
                <w:szCs w:val="21"/>
              </w:rPr>
              <w:t>投标单位</w:t>
            </w:r>
          </w:p>
        </w:tc>
        <w:tc>
          <w:tcPr>
            <w:tcW w:w="1902" w:type="pct"/>
            <w:gridSpan w:val="8"/>
            <w:vAlign w:val="center"/>
          </w:tcPr>
          <w:p>
            <w:pPr>
              <w:snapToGrid w:val="0"/>
              <w:spacing w:line="300" w:lineRule="auto"/>
              <w:rPr>
                <w:rFonts w:eastAsia="仿宋_GB2312"/>
                <w:szCs w:val="21"/>
              </w:rPr>
            </w:pPr>
          </w:p>
        </w:tc>
        <w:tc>
          <w:tcPr>
            <w:tcW w:w="1194" w:type="pct"/>
            <w:gridSpan w:val="4"/>
            <w:vAlign w:val="center"/>
          </w:tcPr>
          <w:p>
            <w:pPr>
              <w:snapToGrid w:val="0"/>
              <w:spacing w:line="300" w:lineRule="auto"/>
              <w:jc w:val="center"/>
              <w:rPr>
                <w:rFonts w:eastAsia="仿宋_GB2312"/>
                <w:b/>
                <w:szCs w:val="21"/>
              </w:rPr>
            </w:pPr>
            <w:r>
              <w:rPr>
                <w:rFonts w:hint="eastAsia" w:eastAsia="仿宋_GB2312"/>
                <w:b/>
                <w:szCs w:val="21"/>
              </w:rPr>
              <w:t>投标总价</w:t>
            </w:r>
            <w:r>
              <w:rPr>
                <w:rFonts w:eastAsia="仿宋_GB2312"/>
                <w:b/>
                <w:szCs w:val="21"/>
              </w:rPr>
              <w:t>(</w:t>
            </w:r>
            <w:r>
              <w:rPr>
                <w:rFonts w:hint="eastAsia" w:eastAsia="仿宋_GB2312"/>
                <w:b/>
                <w:szCs w:val="21"/>
              </w:rPr>
              <w:t>人民币)</w:t>
            </w:r>
          </w:p>
        </w:tc>
        <w:tc>
          <w:tcPr>
            <w:tcW w:w="1249" w:type="pct"/>
            <w:gridSpan w:val="4"/>
            <w:vAlign w:val="center"/>
          </w:tcPr>
          <w:p>
            <w:pPr>
              <w:snapToGrid w:val="0"/>
              <w:spacing w:line="300" w:lineRule="auto"/>
              <w:rPr>
                <w:rFonts w:eastAsia="仿宋_GB2312"/>
                <w:i/>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eastAsia="仿宋_GB2312"/>
                <w:b/>
                <w:szCs w:val="21"/>
              </w:rPr>
              <w:t>项目负责人</w:t>
            </w:r>
          </w:p>
        </w:tc>
        <w:tc>
          <w:tcPr>
            <w:tcW w:w="884" w:type="pct"/>
            <w:gridSpan w:val="3"/>
            <w:tcBorders>
              <w:bottom w:val="nil"/>
              <w:right w:val="single" w:color="auto" w:sz="4" w:space="0"/>
            </w:tcBorders>
            <w:vAlign w:val="center"/>
          </w:tcPr>
          <w:p>
            <w:pPr>
              <w:snapToGrid w:val="0"/>
              <w:spacing w:line="300" w:lineRule="auto"/>
              <w:rPr>
                <w:rFonts w:eastAsia="仿宋_GB2312"/>
                <w:szCs w:val="21"/>
              </w:rPr>
            </w:pPr>
          </w:p>
        </w:tc>
        <w:tc>
          <w:tcPr>
            <w:tcW w:w="725" w:type="pct"/>
            <w:gridSpan w:val="3"/>
            <w:tcBorders>
              <w:left w:val="single" w:color="auto" w:sz="4" w:space="0"/>
              <w:bottom w:val="nil"/>
            </w:tcBorders>
            <w:vAlign w:val="center"/>
          </w:tcPr>
          <w:p>
            <w:pPr>
              <w:snapToGrid w:val="0"/>
              <w:spacing w:line="300" w:lineRule="auto"/>
              <w:jc w:val="center"/>
              <w:rPr>
                <w:rFonts w:eastAsia="仿宋_GB2312"/>
                <w:b/>
                <w:szCs w:val="21"/>
              </w:rPr>
            </w:pPr>
            <w:r>
              <w:rPr>
                <w:rFonts w:eastAsia="仿宋_GB2312"/>
                <w:b/>
                <w:szCs w:val="21"/>
              </w:rPr>
              <w:t>职务/职称</w:t>
            </w:r>
          </w:p>
        </w:tc>
        <w:tc>
          <w:tcPr>
            <w:tcW w:w="293" w:type="pct"/>
            <w:gridSpan w:val="2"/>
            <w:tcBorders>
              <w:bottom w:val="nil"/>
            </w:tcBorders>
            <w:vAlign w:val="center"/>
          </w:tcPr>
          <w:p>
            <w:pPr>
              <w:pStyle w:val="10"/>
              <w:keepNext/>
              <w:snapToGrid w:val="0"/>
              <w:spacing w:before="0" w:after="0" w:line="300" w:lineRule="auto"/>
              <w:rPr>
                <w:rFonts w:ascii="Times New Roman" w:hAnsi="Times New Roman" w:eastAsia="宋体"/>
                <w:szCs w:val="21"/>
              </w:rPr>
            </w:pPr>
          </w:p>
        </w:tc>
        <w:tc>
          <w:tcPr>
            <w:tcW w:w="1194" w:type="pct"/>
            <w:gridSpan w:val="4"/>
            <w:tcBorders>
              <w:bottom w:val="nil"/>
            </w:tcBorders>
            <w:vAlign w:val="center"/>
          </w:tcPr>
          <w:p>
            <w:pPr>
              <w:snapToGrid w:val="0"/>
              <w:spacing w:line="300" w:lineRule="auto"/>
              <w:jc w:val="center"/>
              <w:rPr>
                <w:rFonts w:eastAsia="仿宋_GB2312"/>
                <w:b/>
                <w:szCs w:val="21"/>
              </w:rPr>
            </w:pPr>
            <w:r>
              <w:rPr>
                <w:rFonts w:eastAsia="仿宋_GB2312"/>
                <w:b/>
                <w:szCs w:val="21"/>
              </w:rPr>
              <w:t>联系电话</w:t>
            </w:r>
          </w:p>
        </w:tc>
        <w:tc>
          <w:tcPr>
            <w:tcW w:w="1249" w:type="pct"/>
            <w:gridSpan w:val="4"/>
            <w:tcBorders>
              <w:bottom w:val="nil"/>
            </w:tcBorders>
            <w:vAlign w:val="center"/>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eastAsia="仿宋_GB2312"/>
                <w:b/>
                <w:szCs w:val="21"/>
              </w:rPr>
              <w:t>项目周期</w:t>
            </w:r>
          </w:p>
        </w:tc>
        <w:tc>
          <w:tcPr>
            <w:tcW w:w="4345" w:type="pct"/>
            <w:gridSpan w:val="16"/>
            <w:tcBorders>
              <w:bottom w:val="nil"/>
            </w:tcBorders>
            <w:vAlign w:val="center"/>
          </w:tcPr>
          <w:p>
            <w:pPr>
              <w:pStyle w:val="10"/>
              <w:keepNext/>
              <w:snapToGrid w:val="0"/>
              <w:spacing w:before="0" w:after="0" w:line="300" w:lineRule="auto"/>
              <w:rPr>
                <w:rFonts w:ascii="Times New Roman" w:hAnsi="Times New Roman" w:eastAsia="仿宋_GB2312"/>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pPr>
              <w:snapToGrid w:val="0"/>
              <w:spacing w:line="300" w:lineRule="auto"/>
              <w:jc w:val="center"/>
              <w:rPr>
                <w:rFonts w:eastAsia="仿宋_GB2312"/>
                <w:b/>
                <w:szCs w:val="21"/>
              </w:rPr>
            </w:pPr>
            <w:r>
              <w:rPr>
                <w:rFonts w:hint="eastAsia" w:eastAsia="仿宋_GB2312"/>
                <w:b/>
                <w:szCs w:val="21"/>
              </w:rPr>
              <w:t>研究</w:t>
            </w:r>
            <w:r>
              <w:rPr>
                <w:rFonts w:eastAsia="仿宋_GB2312"/>
                <w:b/>
                <w:szCs w:val="21"/>
              </w:rPr>
              <w:t>目标</w:t>
            </w:r>
          </w:p>
        </w:tc>
        <w:tc>
          <w:tcPr>
            <w:tcW w:w="4345" w:type="pct"/>
            <w:gridSpan w:val="16"/>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pPr>
              <w:snapToGrid w:val="0"/>
              <w:spacing w:line="300" w:lineRule="auto"/>
              <w:jc w:val="center"/>
              <w:rPr>
                <w:rFonts w:eastAsia="仿宋_GB2312"/>
                <w:b/>
                <w:szCs w:val="21"/>
              </w:rPr>
            </w:pPr>
            <w:r>
              <w:rPr>
                <w:rFonts w:eastAsia="仿宋_GB2312"/>
                <w:b/>
                <w:szCs w:val="21"/>
              </w:rPr>
              <w:t>主要研究</w:t>
            </w:r>
          </w:p>
          <w:p>
            <w:pPr>
              <w:snapToGrid w:val="0"/>
              <w:spacing w:line="300" w:lineRule="auto"/>
              <w:jc w:val="center"/>
              <w:rPr>
                <w:rFonts w:eastAsia="仿宋_GB2312"/>
                <w:b/>
                <w:szCs w:val="21"/>
              </w:rPr>
            </w:pPr>
            <w:r>
              <w:rPr>
                <w:rFonts w:eastAsia="仿宋_GB2312"/>
                <w:b/>
                <w:szCs w:val="21"/>
              </w:rPr>
              <w:t>内容</w:t>
            </w:r>
          </w:p>
        </w:tc>
        <w:tc>
          <w:tcPr>
            <w:tcW w:w="4345" w:type="pct"/>
            <w:gridSpan w:val="16"/>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eastAsia="仿宋_GB2312"/>
                <w:b/>
                <w:szCs w:val="21"/>
              </w:rPr>
              <w:t>项目关键</w:t>
            </w:r>
          </w:p>
          <w:p>
            <w:pPr>
              <w:snapToGrid w:val="0"/>
              <w:spacing w:line="300" w:lineRule="auto"/>
              <w:jc w:val="center"/>
              <w:rPr>
                <w:rFonts w:eastAsia="仿宋_GB2312"/>
                <w:b/>
                <w:szCs w:val="21"/>
              </w:rPr>
            </w:pPr>
            <w:r>
              <w:rPr>
                <w:rFonts w:eastAsia="仿宋_GB2312"/>
                <w:b/>
                <w:szCs w:val="21"/>
              </w:rPr>
              <w:t>技术</w:t>
            </w:r>
          </w:p>
        </w:tc>
        <w:tc>
          <w:tcPr>
            <w:tcW w:w="4345" w:type="pct"/>
            <w:gridSpan w:val="16"/>
            <w:tcBorders>
              <w:bottom w:val="nil"/>
            </w:tcBorders>
          </w:tcPr>
          <w:p>
            <w:pPr>
              <w:snapToGrid w:val="0"/>
              <w:spacing w:line="300" w:lineRule="auto"/>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hint="eastAsia" w:eastAsia="仿宋_GB2312"/>
                <w:b/>
                <w:szCs w:val="21"/>
              </w:rPr>
              <w:t>绩效</w:t>
            </w:r>
            <w:r>
              <w:rPr>
                <w:rFonts w:eastAsia="仿宋_GB2312"/>
                <w:b/>
                <w:szCs w:val="21"/>
              </w:rPr>
              <w:t>目标</w:t>
            </w:r>
          </w:p>
        </w:tc>
        <w:tc>
          <w:tcPr>
            <w:tcW w:w="4345" w:type="pct"/>
            <w:gridSpan w:val="16"/>
            <w:tcBorders>
              <w:bottom w:val="nil"/>
            </w:tcBorders>
          </w:tcPr>
          <w:p>
            <w:pPr>
              <w:snapToGrid w:val="0"/>
              <w:spacing w:line="300" w:lineRule="auto"/>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single" w:color="auto" w:sz="4" w:space="0"/>
            </w:tcBorders>
            <w:vAlign w:val="center"/>
          </w:tcPr>
          <w:p>
            <w:pPr>
              <w:snapToGrid w:val="0"/>
              <w:spacing w:line="300" w:lineRule="auto"/>
              <w:jc w:val="center"/>
              <w:rPr>
                <w:rFonts w:eastAsia="仿宋_GB2312"/>
                <w:b/>
                <w:szCs w:val="21"/>
              </w:rPr>
            </w:pPr>
            <w:r>
              <w:rPr>
                <w:rFonts w:hint="eastAsia" w:eastAsia="仿宋_GB2312"/>
                <w:b/>
                <w:szCs w:val="21"/>
              </w:rPr>
              <w:t>主要</w:t>
            </w:r>
            <w:r>
              <w:rPr>
                <w:rFonts w:eastAsia="仿宋_GB2312"/>
                <w:b/>
                <w:szCs w:val="21"/>
              </w:rPr>
              <w:t>技术</w:t>
            </w:r>
          </w:p>
          <w:p>
            <w:pPr>
              <w:snapToGrid w:val="0"/>
              <w:spacing w:line="300" w:lineRule="auto"/>
              <w:jc w:val="center"/>
              <w:rPr>
                <w:rFonts w:eastAsia="仿宋_GB2312"/>
                <w:b/>
                <w:szCs w:val="21"/>
              </w:rPr>
            </w:pPr>
            <w:r>
              <w:rPr>
                <w:rFonts w:eastAsia="仿宋_GB2312"/>
                <w:b/>
                <w:szCs w:val="21"/>
              </w:rPr>
              <w:t>指标</w:t>
            </w:r>
          </w:p>
        </w:tc>
        <w:tc>
          <w:tcPr>
            <w:tcW w:w="4345" w:type="pct"/>
            <w:gridSpan w:val="16"/>
            <w:tcBorders>
              <w:bottom w:val="single" w:color="auto" w:sz="4" w:space="0"/>
            </w:tcBorders>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655" w:type="pct"/>
            <w:tcBorders>
              <w:bottom w:val="single" w:color="auto" w:sz="4" w:space="0"/>
            </w:tcBorders>
            <w:vAlign w:val="center"/>
          </w:tcPr>
          <w:p>
            <w:pPr>
              <w:snapToGrid w:val="0"/>
              <w:spacing w:line="300" w:lineRule="auto"/>
              <w:jc w:val="center"/>
              <w:rPr>
                <w:rFonts w:eastAsia="仿宋_GB2312"/>
                <w:b/>
                <w:szCs w:val="21"/>
              </w:rPr>
            </w:pPr>
            <w:r>
              <w:rPr>
                <w:rFonts w:eastAsia="仿宋_GB2312"/>
                <w:b/>
                <w:szCs w:val="21"/>
              </w:rPr>
              <w:t>预期成果</w:t>
            </w:r>
          </w:p>
        </w:tc>
        <w:tc>
          <w:tcPr>
            <w:tcW w:w="283" w:type="pct"/>
            <w:vAlign w:val="center"/>
          </w:tcPr>
          <w:p>
            <w:pPr>
              <w:snapToGrid w:val="0"/>
              <w:spacing w:line="300" w:lineRule="auto"/>
              <w:jc w:val="center"/>
              <w:rPr>
                <w:rFonts w:eastAsia="仿宋_GB2312"/>
                <w:b/>
                <w:szCs w:val="21"/>
              </w:rPr>
            </w:pPr>
            <w:r>
              <w:rPr>
                <w:rFonts w:eastAsia="仿宋_GB2312"/>
                <w:b/>
                <w:szCs w:val="21"/>
              </w:rPr>
              <w:t>报告</w:t>
            </w:r>
          </w:p>
        </w:tc>
        <w:tc>
          <w:tcPr>
            <w:tcW w:w="433" w:type="pct"/>
            <w:vAlign w:val="center"/>
          </w:tcPr>
          <w:p>
            <w:pPr>
              <w:snapToGrid w:val="0"/>
              <w:spacing w:line="300" w:lineRule="auto"/>
              <w:jc w:val="center"/>
              <w:rPr>
                <w:rFonts w:eastAsia="仿宋_GB2312"/>
                <w:b/>
                <w:szCs w:val="21"/>
              </w:rPr>
            </w:pPr>
            <w:r>
              <w:rPr>
                <w:rFonts w:eastAsia="仿宋_GB2312"/>
                <w:b/>
                <w:szCs w:val="21"/>
              </w:rPr>
              <w:t>论文(专著)</w:t>
            </w:r>
          </w:p>
        </w:tc>
        <w:tc>
          <w:tcPr>
            <w:tcW w:w="251" w:type="pct"/>
            <w:gridSpan w:val="2"/>
            <w:vAlign w:val="center"/>
          </w:tcPr>
          <w:p>
            <w:pPr>
              <w:snapToGrid w:val="0"/>
              <w:spacing w:line="300" w:lineRule="auto"/>
              <w:rPr>
                <w:rFonts w:eastAsia="仿宋_GB2312"/>
                <w:b/>
                <w:szCs w:val="21"/>
              </w:rPr>
            </w:pPr>
            <w:r>
              <w:rPr>
                <w:rFonts w:eastAsia="仿宋_GB2312"/>
                <w:b/>
                <w:szCs w:val="21"/>
              </w:rPr>
              <w:t>专利</w:t>
            </w:r>
          </w:p>
        </w:tc>
        <w:tc>
          <w:tcPr>
            <w:tcW w:w="304" w:type="pct"/>
            <w:vAlign w:val="center"/>
          </w:tcPr>
          <w:p>
            <w:pPr>
              <w:snapToGrid w:val="0"/>
              <w:spacing w:line="300" w:lineRule="auto"/>
              <w:jc w:val="center"/>
              <w:rPr>
                <w:rFonts w:eastAsia="仿宋_GB2312"/>
                <w:b/>
                <w:szCs w:val="21"/>
              </w:rPr>
            </w:pPr>
            <w:r>
              <w:rPr>
                <w:rFonts w:eastAsia="仿宋_GB2312"/>
                <w:b/>
                <w:szCs w:val="21"/>
              </w:rPr>
              <w:t>软</w:t>
            </w:r>
          </w:p>
          <w:p>
            <w:pPr>
              <w:snapToGrid w:val="0"/>
              <w:spacing w:line="300" w:lineRule="auto"/>
              <w:jc w:val="center"/>
              <w:rPr>
                <w:rFonts w:eastAsia="仿宋_GB2312"/>
                <w:b/>
                <w:szCs w:val="21"/>
              </w:rPr>
            </w:pPr>
            <w:r>
              <w:rPr>
                <w:rFonts w:eastAsia="仿宋_GB2312"/>
                <w:b/>
                <w:szCs w:val="21"/>
              </w:rPr>
              <w:t>件</w:t>
            </w:r>
          </w:p>
        </w:tc>
        <w:tc>
          <w:tcPr>
            <w:tcW w:w="492" w:type="pct"/>
            <w:gridSpan w:val="2"/>
            <w:vAlign w:val="center"/>
          </w:tcPr>
          <w:p>
            <w:pPr>
              <w:snapToGrid w:val="0"/>
              <w:spacing w:line="300" w:lineRule="auto"/>
              <w:jc w:val="center"/>
              <w:rPr>
                <w:rFonts w:eastAsia="仿宋_GB2312"/>
                <w:b/>
                <w:szCs w:val="21"/>
              </w:rPr>
            </w:pPr>
            <w:r>
              <w:rPr>
                <w:rFonts w:eastAsia="仿宋_GB2312"/>
                <w:b/>
                <w:szCs w:val="21"/>
              </w:rPr>
              <w:t>工艺</w:t>
            </w:r>
          </w:p>
          <w:p>
            <w:pPr>
              <w:snapToGrid w:val="0"/>
              <w:spacing w:line="300" w:lineRule="auto"/>
              <w:jc w:val="center"/>
              <w:rPr>
                <w:rFonts w:eastAsia="仿宋_GB2312"/>
                <w:b/>
                <w:szCs w:val="21"/>
              </w:rPr>
            </w:pPr>
            <w:r>
              <w:rPr>
                <w:rFonts w:eastAsia="仿宋_GB2312"/>
                <w:b/>
                <w:szCs w:val="21"/>
              </w:rPr>
              <w:t>(规范)</w:t>
            </w:r>
          </w:p>
        </w:tc>
        <w:tc>
          <w:tcPr>
            <w:tcW w:w="250" w:type="pct"/>
            <w:gridSpan w:val="2"/>
            <w:vAlign w:val="center"/>
          </w:tcPr>
          <w:p>
            <w:pPr>
              <w:snapToGrid w:val="0"/>
              <w:spacing w:line="300" w:lineRule="auto"/>
              <w:jc w:val="center"/>
              <w:rPr>
                <w:rFonts w:eastAsia="仿宋_GB2312"/>
                <w:b/>
                <w:szCs w:val="21"/>
              </w:rPr>
            </w:pPr>
            <w:r>
              <w:rPr>
                <w:rFonts w:eastAsia="仿宋_GB2312"/>
                <w:b/>
                <w:szCs w:val="21"/>
              </w:rPr>
              <w:t>样机</w:t>
            </w:r>
          </w:p>
        </w:tc>
        <w:tc>
          <w:tcPr>
            <w:tcW w:w="250" w:type="pct"/>
            <w:vAlign w:val="center"/>
          </w:tcPr>
          <w:p>
            <w:pPr>
              <w:snapToGrid w:val="0"/>
              <w:spacing w:line="300" w:lineRule="auto"/>
              <w:jc w:val="center"/>
              <w:rPr>
                <w:rFonts w:eastAsia="仿宋_GB2312"/>
                <w:b/>
                <w:szCs w:val="21"/>
              </w:rPr>
            </w:pPr>
            <w:r>
              <w:rPr>
                <w:rFonts w:eastAsia="仿宋_GB2312"/>
                <w:b/>
                <w:szCs w:val="21"/>
              </w:rPr>
              <w:t>材料样品</w:t>
            </w:r>
          </w:p>
        </w:tc>
        <w:tc>
          <w:tcPr>
            <w:tcW w:w="580" w:type="pct"/>
            <w:vAlign w:val="center"/>
          </w:tcPr>
          <w:p>
            <w:pPr>
              <w:snapToGrid w:val="0"/>
              <w:spacing w:line="300" w:lineRule="auto"/>
              <w:jc w:val="center"/>
              <w:rPr>
                <w:rFonts w:eastAsia="仿宋_GB2312"/>
                <w:b/>
                <w:szCs w:val="21"/>
              </w:rPr>
            </w:pPr>
            <w:r>
              <w:rPr>
                <w:rFonts w:eastAsia="仿宋_GB2312"/>
                <w:b/>
                <w:szCs w:val="21"/>
              </w:rPr>
              <w:t>试验件</w:t>
            </w:r>
          </w:p>
          <w:p>
            <w:pPr>
              <w:snapToGrid w:val="0"/>
              <w:spacing w:line="300" w:lineRule="auto"/>
              <w:jc w:val="center"/>
              <w:rPr>
                <w:rFonts w:eastAsia="仿宋_GB2312"/>
                <w:b/>
                <w:szCs w:val="21"/>
              </w:rPr>
            </w:pPr>
            <w:r>
              <w:rPr>
                <w:rFonts w:eastAsia="仿宋_GB2312"/>
                <w:b/>
                <w:szCs w:val="21"/>
              </w:rPr>
              <w:t>(样/部件)</w:t>
            </w:r>
          </w:p>
        </w:tc>
        <w:tc>
          <w:tcPr>
            <w:tcW w:w="497" w:type="pct"/>
            <w:gridSpan w:val="2"/>
            <w:vAlign w:val="center"/>
          </w:tcPr>
          <w:p>
            <w:pPr>
              <w:snapToGrid w:val="0"/>
              <w:spacing w:line="300" w:lineRule="auto"/>
              <w:jc w:val="center"/>
              <w:rPr>
                <w:rFonts w:eastAsia="仿宋_GB2312"/>
                <w:b/>
                <w:szCs w:val="21"/>
              </w:rPr>
            </w:pPr>
            <w:r>
              <w:rPr>
                <w:rFonts w:eastAsia="仿宋_GB2312"/>
                <w:b/>
                <w:szCs w:val="21"/>
              </w:rPr>
              <w:t>装（设）置（备）</w:t>
            </w:r>
          </w:p>
        </w:tc>
        <w:tc>
          <w:tcPr>
            <w:tcW w:w="433" w:type="pct"/>
            <w:vAlign w:val="center"/>
          </w:tcPr>
          <w:p>
            <w:pPr>
              <w:snapToGrid w:val="0"/>
              <w:spacing w:line="300" w:lineRule="auto"/>
              <w:jc w:val="center"/>
              <w:rPr>
                <w:rFonts w:eastAsia="仿宋_GB2312"/>
                <w:szCs w:val="21"/>
              </w:rPr>
            </w:pPr>
            <w:r>
              <w:rPr>
                <w:rFonts w:eastAsia="仿宋_GB2312"/>
                <w:b/>
                <w:szCs w:val="21"/>
              </w:rPr>
              <w:t>集成验证或演示平台(系统)</w:t>
            </w:r>
          </w:p>
        </w:tc>
        <w:tc>
          <w:tcPr>
            <w:tcW w:w="284" w:type="pct"/>
            <w:vAlign w:val="center"/>
          </w:tcPr>
          <w:p>
            <w:pPr>
              <w:snapToGrid w:val="0"/>
              <w:spacing w:line="300" w:lineRule="auto"/>
              <w:jc w:val="center"/>
              <w:rPr>
                <w:rFonts w:eastAsia="仿宋_GB2312"/>
                <w:b/>
                <w:szCs w:val="21"/>
              </w:rPr>
            </w:pPr>
            <w:r>
              <w:rPr>
                <w:rFonts w:eastAsia="仿宋_GB2312"/>
                <w:b/>
                <w:szCs w:val="21"/>
              </w:rPr>
              <w:t>数据库</w:t>
            </w:r>
          </w:p>
        </w:tc>
        <w:tc>
          <w:tcPr>
            <w:tcW w:w="288" w:type="pct"/>
            <w:vAlign w:val="center"/>
          </w:tcPr>
          <w:p>
            <w:pPr>
              <w:snapToGrid w:val="0"/>
              <w:spacing w:line="300" w:lineRule="auto"/>
              <w:jc w:val="center"/>
              <w:rPr>
                <w:rFonts w:eastAsia="仿宋_GB2312"/>
                <w:szCs w:val="21"/>
              </w:rPr>
            </w:pPr>
            <w:r>
              <w:rPr>
                <w:rFonts w:eastAsia="仿宋_GB2312"/>
                <w:b/>
                <w:szCs w:val="21"/>
              </w:rPr>
              <w:t>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5" w:type="pct"/>
            <w:vAlign w:val="center"/>
          </w:tcPr>
          <w:p>
            <w:pPr>
              <w:snapToGrid w:val="0"/>
              <w:spacing w:line="300" w:lineRule="auto"/>
              <w:jc w:val="center"/>
              <w:rPr>
                <w:rFonts w:eastAsia="仿宋_GB2312"/>
                <w:b/>
                <w:szCs w:val="21"/>
              </w:rPr>
            </w:pPr>
            <w:r>
              <w:rPr>
                <w:rFonts w:eastAsia="仿宋_GB2312"/>
                <w:b/>
                <w:szCs w:val="21"/>
              </w:rPr>
              <w:t>数量</w:t>
            </w:r>
          </w:p>
        </w:tc>
        <w:tc>
          <w:tcPr>
            <w:tcW w:w="283" w:type="pct"/>
          </w:tcPr>
          <w:p>
            <w:pPr>
              <w:snapToGrid w:val="0"/>
              <w:spacing w:line="300" w:lineRule="auto"/>
              <w:rPr>
                <w:rFonts w:eastAsia="仿宋_GB2312"/>
                <w:szCs w:val="21"/>
              </w:rPr>
            </w:pPr>
          </w:p>
        </w:tc>
        <w:tc>
          <w:tcPr>
            <w:tcW w:w="433" w:type="pct"/>
          </w:tcPr>
          <w:p>
            <w:pPr>
              <w:snapToGrid w:val="0"/>
              <w:spacing w:line="300" w:lineRule="auto"/>
              <w:rPr>
                <w:rFonts w:eastAsia="仿宋_GB2312"/>
                <w:szCs w:val="21"/>
              </w:rPr>
            </w:pPr>
          </w:p>
        </w:tc>
        <w:tc>
          <w:tcPr>
            <w:tcW w:w="251" w:type="pct"/>
            <w:gridSpan w:val="2"/>
          </w:tcPr>
          <w:p>
            <w:pPr>
              <w:snapToGrid w:val="0"/>
              <w:spacing w:line="300" w:lineRule="auto"/>
              <w:rPr>
                <w:rFonts w:eastAsia="仿宋_GB2312"/>
                <w:szCs w:val="21"/>
              </w:rPr>
            </w:pPr>
          </w:p>
        </w:tc>
        <w:tc>
          <w:tcPr>
            <w:tcW w:w="304" w:type="pct"/>
          </w:tcPr>
          <w:p>
            <w:pPr>
              <w:snapToGrid w:val="0"/>
              <w:spacing w:line="300" w:lineRule="auto"/>
              <w:rPr>
                <w:rFonts w:eastAsia="仿宋_GB2312"/>
                <w:szCs w:val="21"/>
              </w:rPr>
            </w:pPr>
          </w:p>
        </w:tc>
        <w:tc>
          <w:tcPr>
            <w:tcW w:w="492" w:type="pct"/>
            <w:gridSpan w:val="2"/>
          </w:tcPr>
          <w:p>
            <w:pPr>
              <w:snapToGrid w:val="0"/>
              <w:spacing w:line="300" w:lineRule="auto"/>
              <w:rPr>
                <w:rFonts w:eastAsia="仿宋_GB2312"/>
                <w:szCs w:val="21"/>
              </w:rPr>
            </w:pPr>
          </w:p>
        </w:tc>
        <w:tc>
          <w:tcPr>
            <w:tcW w:w="250" w:type="pct"/>
            <w:gridSpan w:val="2"/>
          </w:tcPr>
          <w:p>
            <w:pPr>
              <w:snapToGrid w:val="0"/>
              <w:spacing w:line="300" w:lineRule="auto"/>
              <w:rPr>
                <w:rFonts w:eastAsia="仿宋_GB2312"/>
                <w:szCs w:val="21"/>
              </w:rPr>
            </w:pPr>
          </w:p>
        </w:tc>
        <w:tc>
          <w:tcPr>
            <w:tcW w:w="250" w:type="pct"/>
          </w:tcPr>
          <w:p>
            <w:pPr>
              <w:snapToGrid w:val="0"/>
              <w:spacing w:line="300" w:lineRule="auto"/>
              <w:rPr>
                <w:rFonts w:eastAsia="仿宋_GB2312"/>
                <w:szCs w:val="21"/>
              </w:rPr>
            </w:pPr>
          </w:p>
        </w:tc>
        <w:tc>
          <w:tcPr>
            <w:tcW w:w="580" w:type="pct"/>
          </w:tcPr>
          <w:p>
            <w:pPr>
              <w:snapToGrid w:val="0"/>
              <w:spacing w:line="300" w:lineRule="auto"/>
              <w:rPr>
                <w:rFonts w:eastAsia="仿宋_GB2312"/>
                <w:szCs w:val="21"/>
              </w:rPr>
            </w:pPr>
          </w:p>
        </w:tc>
        <w:tc>
          <w:tcPr>
            <w:tcW w:w="497" w:type="pct"/>
            <w:gridSpan w:val="2"/>
          </w:tcPr>
          <w:p>
            <w:pPr>
              <w:snapToGrid w:val="0"/>
              <w:spacing w:line="300" w:lineRule="auto"/>
              <w:rPr>
                <w:rFonts w:eastAsia="仿宋_GB2312"/>
                <w:szCs w:val="21"/>
              </w:rPr>
            </w:pPr>
          </w:p>
        </w:tc>
        <w:tc>
          <w:tcPr>
            <w:tcW w:w="433" w:type="pct"/>
          </w:tcPr>
          <w:p>
            <w:pPr>
              <w:snapToGrid w:val="0"/>
              <w:spacing w:line="300" w:lineRule="auto"/>
              <w:rPr>
                <w:rFonts w:eastAsia="仿宋_GB2312"/>
                <w:szCs w:val="21"/>
              </w:rPr>
            </w:pPr>
          </w:p>
        </w:tc>
        <w:tc>
          <w:tcPr>
            <w:tcW w:w="284" w:type="pct"/>
          </w:tcPr>
          <w:p>
            <w:pPr>
              <w:snapToGrid w:val="0"/>
              <w:spacing w:line="300" w:lineRule="auto"/>
              <w:rPr>
                <w:rFonts w:eastAsia="仿宋_GB2312"/>
                <w:szCs w:val="21"/>
              </w:rPr>
            </w:pPr>
          </w:p>
        </w:tc>
        <w:tc>
          <w:tcPr>
            <w:tcW w:w="288" w:type="pct"/>
          </w:tcPr>
          <w:p>
            <w:pPr>
              <w:snapToGrid w:val="0"/>
              <w:spacing w:line="300" w:lineRule="auto"/>
              <w:rPr>
                <w:rFonts w:eastAsia="仿宋_GB2312"/>
                <w:szCs w:val="21"/>
              </w:rPr>
            </w:pPr>
          </w:p>
        </w:tc>
      </w:tr>
    </w:tbl>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rPr>
          <w:rFonts w:ascii="Times New Roman" w:hAnsi="Times New Roman"/>
          <w:bCs w:val="0"/>
          <w:spacing w:val="10"/>
          <w:szCs w:val="28"/>
        </w:rPr>
      </w:pPr>
      <w:r>
        <w:rPr>
          <w:rFonts w:hint="eastAsia"/>
        </w:rPr>
        <w:t>附件4：</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364"/>
        <w:gridCol w:w="1177"/>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00" w:type="pct"/>
            <w:gridSpan w:val="4"/>
            <w:tcBorders>
              <w:top w:val="nil"/>
              <w:left w:val="nil"/>
              <w:bottom w:val="single" w:color="auto" w:sz="4" w:space="0"/>
              <w:right w:val="nil"/>
            </w:tcBorders>
            <w:shd w:val="clear" w:color="auto" w:fill="auto"/>
            <w:noWrap/>
            <w:vAlign w:val="center"/>
          </w:tcPr>
          <w:p>
            <w:pPr>
              <w:widowControl/>
              <w:jc w:val="center"/>
              <w:rPr>
                <w:rFonts w:asciiTheme="minorEastAsia" w:hAnsiTheme="minorEastAsia" w:eastAsiaTheme="minorEastAsia"/>
                <w:b/>
                <w:bCs/>
                <w:kern w:val="0"/>
                <w:szCs w:val="21"/>
              </w:rPr>
            </w:pPr>
            <w:r>
              <w:rPr>
                <w:rFonts w:asciiTheme="minorEastAsia" w:hAnsiTheme="minorEastAsia" w:eastAsiaTheme="minorEastAsia"/>
                <w:b/>
                <w:bCs/>
                <w:kern w:val="0"/>
                <w:szCs w:val="21"/>
                <w:u w:val="single"/>
              </w:rPr>
              <w:t xml:space="preserve">                           </w:t>
            </w:r>
            <w:r>
              <w:rPr>
                <w:rFonts w:asciiTheme="minorEastAsia" w:hAnsiTheme="minorEastAsia" w:eastAsiaTheme="minorEastAsia"/>
                <w:b/>
                <w:bCs/>
                <w:kern w:val="0"/>
                <w:szCs w:val="21"/>
              </w:rPr>
              <w:t>报价表</w:t>
            </w:r>
          </w:p>
          <w:p>
            <w:pPr>
              <w:widowControl/>
              <w:adjustRightInd w:val="0"/>
              <w:snapToGrid w:val="0"/>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依据《国防科技工业科研经费管理办法》（财防〔2019〕12号）中 </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技术类/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研究类/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研制类</w:t>
            </w:r>
            <w:r>
              <w:rPr>
                <w:rFonts w:hint="eastAsia" w:asciiTheme="minorEastAsia" w:hAnsiTheme="minorEastAsia" w:eastAsiaTheme="minorEastAsia"/>
                <w:b/>
                <w:bCs/>
                <w:kern w:val="0"/>
                <w:sz w:val="18"/>
                <w:szCs w:val="18"/>
              </w:rPr>
              <w:t xml:space="preserve"> </w:t>
            </w:r>
            <w:r>
              <w:rPr>
                <w:rFonts w:hint="eastAsia" w:asciiTheme="minorEastAsia" w:hAnsiTheme="minorEastAsia" w:eastAsiaTheme="minorEastAsia"/>
                <w:bCs/>
                <w:kern w:val="0"/>
                <w:sz w:val="18"/>
                <w:szCs w:val="18"/>
              </w:rPr>
              <w:t>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35"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序号</w:t>
            </w:r>
          </w:p>
        </w:tc>
        <w:tc>
          <w:tcPr>
            <w:tcW w:w="1351"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科目</w:t>
            </w:r>
          </w:p>
        </w:tc>
        <w:tc>
          <w:tcPr>
            <w:tcW w:w="697"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金额(万元)</w:t>
            </w:r>
          </w:p>
        </w:tc>
        <w:tc>
          <w:tcPr>
            <w:tcW w:w="2618"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材料费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含购买、运输、保险、装卸、筛选、整理、质保、废品损失包装等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1.1</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外购原材料费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1.2</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辅助材料费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1.3</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成品(含嵌入式软件)费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1.4</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半成品费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1.5</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存储器、元器件、陪试品费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1.6</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专用低值易耗品费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2.1</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专用工具软件费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确需购买（含软件升级）或租用，作为工具使用的计算机程序、规程、规则，以及与之有关的文件所需的费用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2.2</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技术引进费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2.3</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专用工艺装备费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包括：工艺规程制定费、专用工艺研究费、工艺装备购置费。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2.4</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专用测试仪器设备购置费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　随产品交付，含购置费、运输费、安装调试费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2.5</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知识产权使用费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2.6</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保险费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经国家和军队有关部门认可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3</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外协费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4</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燃料动力费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请在此处标明小时费率及时数，小时费率按水、电、油单价及用量分解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事务费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w:t>
            </w:r>
            <w:r>
              <w:rPr>
                <w:rFonts w:hint="eastAsia" w:asciiTheme="minorEastAsia" w:hAnsiTheme="minorEastAsia" w:eastAsiaTheme="minorEastAsia"/>
                <w:color w:val="A6A6A6" w:themeColor="background1" w:themeShade="A6"/>
                <w:kern w:val="0"/>
                <w:sz w:val="18"/>
                <w:szCs w:val="18"/>
              </w:rPr>
              <w:t>不超过18号文/12号文所列比例超额累退计算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5.1</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会议费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组织开展学术研讨、咨询、评审以及项目协调等发生的会议场所租赁费、租车费、资料费、伙食费、住宿费、交通费等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5.2</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差旅费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为开展科学实验（试验）、科学考察、业务调研、学术交流等发生的国内外差旅费，</w:t>
            </w:r>
            <w:r>
              <w:rPr>
                <w:rFonts w:hint="eastAsia" w:asciiTheme="minorEastAsia" w:hAnsiTheme="minorEastAsia" w:eastAsiaTheme="minorEastAsia"/>
                <w:color w:val="A6A6A6" w:themeColor="background1" w:themeShade="A6"/>
                <w:kern w:val="0"/>
                <w:sz w:val="18"/>
                <w:szCs w:val="18"/>
              </w:rPr>
              <w:t>含</w:t>
            </w:r>
            <w:r>
              <w:rPr>
                <w:rFonts w:asciiTheme="minorEastAsia" w:hAnsiTheme="minorEastAsia" w:eastAsiaTheme="minorEastAsia"/>
                <w:color w:val="A6A6A6" w:themeColor="background1" w:themeShade="A6"/>
                <w:kern w:val="0"/>
                <w:sz w:val="18"/>
                <w:szCs w:val="18"/>
              </w:rPr>
              <w:t>交通费、住宿费、伙食补贴费等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5.3</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专家咨询费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一次性支付给外单位专家的评审咨询费用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6</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固定资产折旧费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请在此处标明资产原值及计算方法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7</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管理费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研制类/试制类不超过12%，技术类不超过15%，研究类不超过20%</w:t>
            </w:r>
          </w:p>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8</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工资及劳务费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请在此处标明近三年的薪酬总额、事业费拨款、营业总收入、平均在岗职工人数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9</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预计收益</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按不超过预计成本扣除材料费中的外购成品费、专用费及外协费后的5%计列</w:t>
            </w:r>
          </w:p>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10</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税负</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税负</w:t>
            </w:r>
            <w:r>
              <w:rPr>
                <w:rFonts w:asciiTheme="minorEastAsia" w:hAnsiTheme="minorEastAsia" w:eastAsiaTheme="minorEastAsia"/>
                <w:b/>
                <w:color w:val="A6A6A6" w:themeColor="background1" w:themeShade="A6"/>
                <w:kern w:val="0"/>
                <w:sz w:val="18"/>
                <w:szCs w:val="18"/>
              </w:rPr>
              <w:t>=</w:t>
            </w:r>
            <w:r>
              <w:rPr>
                <w:rFonts w:hint="eastAsia" w:asciiTheme="minorEastAsia" w:hAnsiTheme="minorEastAsia" w:eastAsiaTheme="minorEastAsia"/>
                <w:b/>
                <w:color w:val="A6A6A6" w:themeColor="background1" w:themeShade="A6"/>
                <w:kern w:val="0"/>
                <w:sz w:val="18"/>
                <w:szCs w:val="18"/>
              </w:rPr>
              <w:t>（</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）×税负率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86" w:type="pct"/>
            <w:gridSpan w:val="2"/>
            <w:shd w:val="clear" w:color="auto" w:fill="auto"/>
            <w:noWrap/>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合计</w:t>
            </w:r>
          </w:p>
        </w:tc>
        <w:tc>
          <w:tcPr>
            <w:tcW w:w="697" w:type="pct"/>
            <w:shd w:val="clear" w:color="auto" w:fill="auto"/>
            <w:noWrap/>
            <w:vAlign w:val="center"/>
          </w:tcPr>
          <w:p>
            <w:pPr>
              <w:widowControl/>
              <w:jc w:val="center"/>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bCs/>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合计=</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+10</w:t>
            </w:r>
          </w:p>
        </w:tc>
      </w:tr>
    </w:tbl>
    <w:p>
      <w:pPr>
        <w:spacing w:line="400" w:lineRule="exact"/>
        <w:ind w:firstLine="360" w:firstLineChars="200"/>
        <w:jc w:val="left"/>
        <w:rPr>
          <w:rFonts w:asciiTheme="minorEastAsia" w:hAnsiTheme="minorEastAsia" w:eastAsiaTheme="minorEastAsia"/>
          <w:b/>
          <w:spacing w:val="10"/>
          <w:sz w:val="28"/>
          <w:szCs w:val="28"/>
        </w:rPr>
      </w:pPr>
      <w:r>
        <w:rPr>
          <w:rFonts w:asciiTheme="minorEastAsia" w:hAnsiTheme="minorEastAsia" w:eastAsiaTheme="minorEastAsia"/>
          <w:sz w:val="18"/>
          <w:szCs w:val="18"/>
        </w:rPr>
        <w:t>注：1.上述报价</w:t>
      </w:r>
      <w:r>
        <w:rPr>
          <w:rFonts w:asciiTheme="minorEastAsia" w:hAnsiTheme="minorEastAsia" w:eastAsiaTheme="minorEastAsia"/>
          <w:b/>
          <w:sz w:val="18"/>
          <w:szCs w:val="18"/>
        </w:rPr>
        <w:t>需另附</w:t>
      </w:r>
      <w:r>
        <w:rPr>
          <w:rFonts w:hint="eastAsia" w:asciiTheme="minorEastAsia" w:hAnsiTheme="minorEastAsia" w:eastAsiaTheme="minorEastAsia"/>
          <w:b/>
          <w:sz w:val="18"/>
          <w:szCs w:val="18"/>
        </w:rPr>
        <w:t>《中国航发航空科技股份有限公司项目报价说明书》</w:t>
      </w:r>
      <w:r>
        <w:rPr>
          <w:rFonts w:asciiTheme="minorEastAsia" w:hAnsiTheme="minorEastAsia" w:eastAsiaTheme="minorEastAsia"/>
          <w:sz w:val="18"/>
          <w:szCs w:val="18"/>
        </w:rPr>
        <w:t>；2.未按此模板格式和要求报价，视为报价无效；</w:t>
      </w:r>
      <w:r>
        <w:rPr>
          <w:rFonts w:hint="eastAsia" w:asciiTheme="minorEastAsia" w:hAnsiTheme="minorEastAsia" w:eastAsiaTheme="minorEastAsia"/>
          <w:sz w:val="18"/>
          <w:szCs w:val="18"/>
        </w:rPr>
        <w:t>3</w:t>
      </w:r>
      <w:r>
        <w:rPr>
          <w:rFonts w:asciiTheme="minorEastAsia" w:hAnsiTheme="minorEastAsia" w:eastAsiaTheme="minorEastAsia"/>
          <w:sz w:val="18"/>
          <w:szCs w:val="18"/>
        </w:rPr>
        <w:t>.上述条目可按实际情况填报，若不涉及，请不填或填“无”；</w:t>
      </w:r>
      <w:r>
        <w:rPr>
          <w:rFonts w:hint="eastAsia" w:asciiTheme="minorEastAsia" w:hAnsiTheme="minorEastAsia" w:eastAsiaTheme="minorEastAsia"/>
          <w:sz w:val="18"/>
          <w:szCs w:val="18"/>
        </w:rPr>
        <w:t>4</w:t>
      </w:r>
      <w:r>
        <w:rPr>
          <w:rFonts w:asciiTheme="minorEastAsia" w:hAnsiTheme="minorEastAsia" w:eastAsiaTheme="minorEastAsia"/>
          <w:kern w:val="0"/>
          <w:sz w:val="18"/>
          <w:szCs w:val="18"/>
        </w:rPr>
        <w:t>.上述报价</w:t>
      </w:r>
      <w:r>
        <w:rPr>
          <w:rFonts w:hint="eastAsia" w:asciiTheme="minorEastAsia" w:hAnsiTheme="minorEastAsia" w:eastAsiaTheme="minorEastAsia"/>
          <w:kern w:val="0"/>
          <w:sz w:val="18"/>
          <w:szCs w:val="18"/>
        </w:rPr>
        <w:t>各成本项</w:t>
      </w:r>
      <w:r>
        <w:rPr>
          <w:rFonts w:asciiTheme="minorEastAsia" w:hAnsiTheme="minorEastAsia" w:eastAsiaTheme="minorEastAsia"/>
          <w:kern w:val="0"/>
          <w:sz w:val="18"/>
          <w:szCs w:val="18"/>
        </w:rPr>
        <w:t>均</w:t>
      </w:r>
      <w:r>
        <w:rPr>
          <w:rFonts w:hint="eastAsia" w:asciiTheme="minorEastAsia" w:hAnsiTheme="minorEastAsia" w:eastAsiaTheme="minorEastAsia"/>
          <w:kern w:val="0"/>
          <w:sz w:val="18"/>
          <w:szCs w:val="18"/>
        </w:rPr>
        <w:t>为</w:t>
      </w:r>
      <w:r>
        <w:rPr>
          <w:rFonts w:asciiTheme="minorEastAsia" w:hAnsiTheme="minorEastAsia" w:eastAsiaTheme="minorEastAsia"/>
          <w:kern w:val="0"/>
          <w:sz w:val="18"/>
          <w:szCs w:val="18"/>
        </w:rPr>
        <w:t>含税</w:t>
      </w:r>
      <w:r>
        <w:rPr>
          <w:rFonts w:hint="eastAsia" w:asciiTheme="minorEastAsia" w:hAnsiTheme="minorEastAsia" w:eastAsiaTheme="minorEastAsia"/>
          <w:kern w:val="0"/>
          <w:sz w:val="18"/>
          <w:szCs w:val="18"/>
        </w:rPr>
        <w:t>采购价，</w:t>
      </w:r>
      <w:r>
        <w:rPr>
          <w:rFonts w:hint="eastAsia" w:asciiTheme="minorEastAsia" w:hAnsiTheme="minorEastAsia" w:eastAsiaTheme="minorEastAsia"/>
          <w:bCs/>
          <w:kern w:val="0"/>
          <w:sz w:val="18"/>
          <w:szCs w:val="18"/>
        </w:rPr>
        <w:t>报价中的税负率根据不同行业有所不同，一般在3%至6%之间波动。</w:t>
      </w:r>
    </w:p>
    <w:p>
      <w:pPr>
        <w:spacing w:line="480" w:lineRule="exact"/>
        <w:rPr>
          <w:rFonts w:ascii="宋体" w:hAnsi="宋体"/>
          <w:sz w:val="24"/>
        </w:rPr>
      </w:pP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附件5：</w:t>
      </w:r>
    </w:p>
    <w:p>
      <w:pPr>
        <w:spacing w:line="560" w:lineRule="exact"/>
        <w:rPr>
          <w:rFonts w:ascii="黑体" w:hAnsi="黑体" w:eastAsia="黑体"/>
          <w:sz w:val="32"/>
          <w:szCs w:val="32"/>
        </w:rPr>
      </w:pPr>
      <w:r>
        <w:rPr>
          <w:rFonts w:hint="eastAsia" w:ascii="黑体" w:hAnsi="黑体" w:eastAsia="黑体"/>
          <w:sz w:val="32"/>
          <w:szCs w:val="32"/>
        </w:rPr>
        <w:t>密级：公开</w:t>
      </w:r>
    </w:p>
    <w:p>
      <w:pPr>
        <w:spacing w:before="1560" w:beforeLines="500" w:line="360" w:lineRule="auto"/>
        <w:ind w:left="420" w:leftChars="200"/>
        <w:jc w:val="center"/>
        <w:rPr>
          <w:rFonts w:ascii="宋体" w:hAnsi="宋体"/>
          <w:b/>
          <w:sz w:val="52"/>
          <w:szCs w:val="52"/>
        </w:rPr>
      </w:pPr>
      <w:r>
        <w:rPr>
          <w:rFonts w:hint="eastAsia" w:ascii="宋体" w:hAnsi="宋体"/>
          <w:b/>
          <w:sz w:val="52"/>
          <w:szCs w:val="52"/>
        </w:rPr>
        <w:t>中国航发航空科技股份有限公司项目报价说明书</w:t>
      </w:r>
    </w:p>
    <w:p>
      <w:pPr>
        <w:spacing w:before="4680" w:beforeLines="1500" w:line="360" w:lineRule="auto"/>
        <w:ind w:left="1050" w:leftChars="500"/>
        <w:rPr>
          <w:rFonts w:ascii="仿宋" w:hAnsi="仿宋" w:eastAsia="仿宋"/>
          <w:b/>
          <w:sz w:val="32"/>
          <w:szCs w:val="32"/>
        </w:rPr>
      </w:pPr>
      <w:r>
        <w:rPr>
          <w:rFonts w:ascii="仿宋" w:hAnsi="仿宋" w:eastAsia="仿宋"/>
          <w:b/>
          <w:sz w:val="32"/>
          <w:szCs w:val="32"/>
        </w:rPr>
        <w:t>项目名称：</w:t>
      </w:r>
      <w:r>
        <w:rPr>
          <w:rFonts w:hint="eastAsia" w:ascii="仿宋" w:hAnsi="仿宋" w:eastAsia="仿宋"/>
          <w:b/>
          <w:sz w:val="32"/>
          <w:szCs w:val="32"/>
          <w:u w:val="single"/>
        </w:rPr>
        <w:t xml:space="preserve">                            </w:t>
      </w:r>
    </w:p>
    <w:p>
      <w:pPr>
        <w:ind w:left="1050" w:leftChars="500"/>
        <w:rPr>
          <w:rFonts w:ascii="仿宋" w:hAnsi="仿宋" w:eastAsia="仿宋"/>
          <w:b/>
          <w:sz w:val="32"/>
          <w:szCs w:val="32"/>
        </w:rPr>
      </w:pPr>
      <w:r>
        <w:rPr>
          <w:rFonts w:ascii="仿宋" w:hAnsi="仿宋" w:eastAsia="仿宋"/>
          <w:b/>
          <w:sz w:val="32"/>
          <w:szCs w:val="32"/>
        </w:rPr>
        <w:t>申报单位：</w:t>
      </w:r>
      <w:r>
        <w:rPr>
          <w:rFonts w:hint="eastAsia" w:ascii="仿宋" w:hAnsi="仿宋" w:eastAsia="仿宋"/>
          <w:b/>
          <w:sz w:val="32"/>
          <w:szCs w:val="32"/>
          <w:u w:val="single"/>
        </w:rPr>
        <w:t xml:space="preserve">    （需加盖单位公章）      </w:t>
      </w:r>
    </w:p>
    <w:p>
      <w:pPr>
        <w:ind w:left="1050" w:leftChars="500"/>
        <w:rPr>
          <w:rFonts w:ascii="仿宋" w:hAnsi="仿宋" w:eastAsia="仿宋"/>
          <w:b/>
          <w:sz w:val="32"/>
          <w:szCs w:val="32"/>
        </w:rPr>
      </w:pPr>
      <w:r>
        <w:rPr>
          <w:rFonts w:hint="eastAsia" w:ascii="仿宋" w:hAnsi="仿宋" w:eastAsia="仿宋"/>
          <w:b/>
          <w:sz w:val="32"/>
          <w:szCs w:val="32"/>
        </w:rPr>
        <w:t xml:space="preserve">联 系 </w:t>
      </w:r>
      <w:r>
        <w:rPr>
          <w:rFonts w:ascii="仿宋" w:hAnsi="仿宋" w:eastAsia="仿宋"/>
          <w:b/>
          <w:sz w:val="32"/>
          <w:szCs w:val="32"/>
        </w:rPr>
        <w:t>人：</w:t>
      </w:r>
      <w:r>
        <w:rPr>
          <w:rFonts w:hint="eastAsia" w:ascii="仿宋" w:hAnsi="仿宋" w:eastAsia="仿宋"/>
          <w:b/>
          <w:sz w:val="32"/>
          <w:szCs w:val="32"/>
          <w:u w:val="single"/>
        </w:rPr>
        <w:t xml:space="preserve">                            </w:t>
      </w:r>
    </w:p>
    <w:p>
      <w:pPr>
        <w:ind w:left="1050" w:leftChars="500"/>
        <w:rPr>
          <w:rFonts w:ascii="仿宋" w:hAnsi="仿宋" w:eastAsia="仿宋"/>
          <w:b/>
          <w:sz w:val="32"/>
          <w:szCs w:val="32"/>
        </w:rPr>
      </w:pPr>
      <w:r>
        <w:rPr>
          <w:rFonts w:hint="eastAsia" w:ascii="仿宋" w:hAnsi="仿宋" w:eastAsia="仿宋"/>
          <w:b/>
          <w:sz w:val="32"/>
          <w:szCs w:val="32"/>
        </w:rPr>
        <w:t>联系方式</w:t>
      </w:r>
      <w:r>
        <w:rPr>
          <w:rFonts w:ascii="仿宋" w:hAnsi="仿宋" w:eastAsia="仿宋"/>
          <w:b/>
          <w:sz w:val="32"/>
          <w:szCs w:val="32"/>
        </w:rPr>
        <w:t>：</w:t>
      </w:r>
      <w:r>
        <w:rPr>
          <w:rFonts w:hint="eastAsia" w:ascii="仿宋" w:hAnsi="仿宋" w:eastAsia="仿宋"/>
          <w:b/>
          <w:sz w:val="32"/>
          <w:szCs w:val="32"/>
          <w:u w:val="single"/>
        </w:rPr>
        <w:t xml:space="preserve">                            </w:t>
      </w:r>
    </w:p>
    <w:p>
      <w:pPr>
        <w:ind w:left="1050" w:leftChars="500"/>
        <w:rPr>
          <w:rFonts w:ascii="仿宋" w:hAnsi="仿宋" w:eastAsia="仿宋"/>
          <w:b/>
          <w:sz w:val="32"/>
          <w:szCs w:val="32"/>
        </w:rPr>
      </w:pPr>
      <w:r>
        <w:rPr>
          <w:rFonts w:hint="eastAsia" w:ascii="仿宋" w:hAnsi="仿宋" w:eastAsia="仿宋"/>
          <w:b/>
          <w:sz w:val="32"/>
          <w:szCs w:val="32"/>
        </w:rPr>
        <w:t>有 效 期：</w:t>
      </w:r>
      <w:r>
        <w:rPr>
          <w:rFonts w:hint="eastAsia" w:ascii="仿宋" w:hAnsi="仿宋" w:eastAsia="仿宋"/>
          <w:b/>
          <w:sz w:val="32"/>
          <w:szCs w:val="32"/>
          <w:u w:val="single"/>
        </w:rPr>
        <w:t xml:space="preserve">                            </w:t>
      </w:r>
    </w:p>
    <w:p>
      <w:pPr>
        <w:spacing w:line="500" w:lineRule="exact"/>
        <w:jc w:val="center"/>
        <w:rPr>
          <w:rFonts w:ascii="仿宋" w:hAnsi="仿宋" w:eastAsia="仿宋"/>
          <w:b/>
          <w:sz w:val="32"/>
          <w:szCs w:val="32"/>
        </w:rPr>
        <w:sectPr>
          <w:pgSz w:w="11906" w:h="16838"/>
          <w:pgMar w:top="1440" w:right="1797" w:bottom="1440" w:left="1797" w:header="851" w:footer="992" w:gutter="0"/>
          <w:cols w:space="425" w:num="1"/>
          <w:titlePg/>
          <w:docGrid w:type="lines" w:linePitch="312" w:charSpace="0"/>
        </w:sectPr>
      </w:pPr>
    </w:p>
    <w:p>
      <w:pPr>
        <w:pStyle w:val="2"/>
        <w:spacing w:before="156" w:beforeLines="50" w:after="156" w:afterLines="50" w:line="600" w:lineRule="exact"/>
        <w:rPr>
          <w:rFonts w:ascii="仿宋" w:hAnsi="仿宋" w:eastAsia="仿宋"/>
          <w:bCs/>
          <w:sz w:val="24"/>
          <w:szCs w:val="24"/>
        </w:rPr>
      </w:pPr>
      <w:bookmarkStart w:id="4" w:name="_Toc425432702"/>
      <w:bookmarkStart w:id="5" w:name="_Toc288827256"/>
      <w:bookmarkStart w:id="6" w:name="_Toc395538883"/>
      <w:bookmarkStart w:id="7" w:name="_Toc272369562"/>
      <w:bookmarkStart w:id="8" w:name="_Toc256515911"/>
      <w:bookmarkStart w:id="9" w:name="_Toc395538888"/>
      <w:r>
        <w:rPr>
          <w:rFonts w:hint="eastAsia" w:ascii="仿宋" w:hAnsi="仿宋" w:eastAsia="仿宋"/>
          <w:sz w:val="24"/>
          <w:szCs w:val="24"/>
        </w:rPr>
        <w:t>1.报价</w:t>
      </w:r>
      <w:bookmarkEnd w:id="4"/>
      <w:bookmarkEnd w:id="5"/>
      <w:bookmarkEnd w:id="6"/>
      <w:bookmarkEnd w:id="7"/>
      <w:bookmarkEnd w:id="8"/>
      <w:r>
        <w:rPr>
          <w:rFonts w:hint="eastAsia" w:ascii="仿宋" w:hAnsi="仿宋" w:eastAsia="仿宋"/>
          <w:bCs/>
          <w:sz w:val="24"/>
          <w:szCs w:val="24"/>
        </w:rPr>
        <w:t>依据</w:t>
      </w:r>
    </w:p>
    <w:p>
      <w:pPr>
        <w:spacing w:line="300" w:lineRule="auto"/>
        <w:ind w:firstLine="480" w:firstLineChars="200"/>
        <w:rPr>
          <w:rFonts w:ascii="仿宋" w:hAnsi="仿宋" w:eastAsia="仿宋" w:cs="Arial"/>
          <w:sz w:val="24"/>
        </w:rPr>
      </w:pPr>
      <w:r>
        <w:rPr>
          <w:rFonts w:hint="eastAsia" w:ascii="仿宋" w:hAnsi="仿宋" w:eastAsia="仿宋" w:cs="Arial"/>
          <w:sz w:val="24"/>
        </w:rPr>
        <w:t>本项目依据《国防科技工业科研经费管理办法》（财防〔2019〕12号）中</w:t>
      </w:r>
      <w:r>
        <w:rPr>
          <w:rFonts w:hint="eastAsia" w:ascii="仿宋" w:hAnsi="仿宋" w:eastAsia="仿宋" w:cs="Arial"/>
          <w:sz w:val="24"/>
        </w:rPr>
        <w:sym w:font="Wingdings" w:char="F0A8"/>
      </w:r>
      <w:r>
        <w:rPr>
          <w:rFonts w:hint="eastAsia" w:ascii="仿宋" w:hAnsi="仿宋" w:eastAsia="仿宋" w:cs="Arial"/>
          <w:sz w:val="24"/>
        </w:rPr>
        <w:t>技术类/</w:t>
      </w:r>
      <w:r>
        <w:rPr>
          <w:rFonts w:hint="eastAsia" w:ascii="仿宋" w:hAnsi="仿宋" w:eastAsia="仿宋" w:cs="Arial"/>
          <w:sz w:val="24"/>
        </w:rPr>
        <w:sym w:font="Wingdings" w:char="F0A8"/>
      </w:r>
      <w:r>
        <w:rPr>
          <w:rFonts w:hint="eastAsia" w:ascii="仿宋" w:hAnsi="仿宋" w:eastAsia="仿宋" w:cs="Arial"/>
          <w:sz w:val="24"/>
        </w:rPr>
        <w:t>研究类/</w:t>
      </w:r>
      <w:r>
        <w:rPr>
          <w:rFonts w:hint="eastAsia" w:ascii="仿宋" w:hAnsi="仿宋" w:eastAsia="仿宋" w:cs="Arial"/>
          <w:sz w:val="24"/>
        </w:rPr>
        <w:sym w:font="Wingdings" w:char="F0A8"/>
      </w:r>
      <w:r>
        <w:rPr>
          <w:rFonts w:hint="eastAsia" w:ascii="仿宋" w:hAnsi="仿宋" w:eastAsia="仿宋" w:cs="Arial"/>
          <w:sz w:val="24"/>
        </w:rPr>
        <w:t>研制类项目进行经费测算。</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2.报价总表</w:t>
      </w:r>
    </w:p>
    <w:p>
      <w:pPr>
        <w:spacing w:line="300" w:lineRule="auto"/>
        <w:ind w:firstLine="480" w:firstLineChars="200"/>
        <w:rPr>
          <w:rFonts w:ascii="仿宋" w:hAnsi="仿宋" w:eastAsia="仿宋" w:cs="Arial"/>
          <w:sz w:val="24"/>
        </w:rPr>
      </w:pPr>
      <w:bookmarkStart w:id="10" w:name="_Toc272369566"/>
      <w:bookmarkStart w:id="11" w:name="_Toc395538887"/>
      <w:bookmarkStart w:id="12" w:name="_Toc288827260"/>
      <w:bookmarkStart w:id="13" w:name="_Toc425432706"/>
      <w:bookmarkStart w:id="14" w:name="_Toc256515914"/>
      <w:r>
        <w:rPr>
          <w:rFonts w:hint="eastAsia" w:ascii="仿宋" w:hAnsi="仿宋" w:eastAsia="仿宋" w:cs="Arial"/>
          <w:sz w:val="24"/>
        </w:rPr>
        <w:t>本项目共需经费</w:t>
      </w:r>
      <w:r>
        <w:rPr>
          <w:rFonts w:hint="eastAsia" w:ascii="仿宋" w:hAnsi="仿宋" w:eastAsia="仿宋" w:cs="Arial"/>
          <w:sz w:val="24"/>
          <w:u w:val="single"/>
        </w:rPr>
        <w:t>XX万元</w:t>
      </w:r>
      <w:r>
        <w:rPr>
          <w:rFonts w:hint="eastAsia" w:ascii="仿宋" w:hAnsi="仿宋" w:eastAsia="仿宋" w:cs="Arial"/>
          <w:sz w:val="24"/>
        </w:rPr>
        <w:t>，具体各项目费用组成明细详见附件4。</w:t>
      </w:r>
    </w:p>
    <w:bookmarkEnd w:id="9"/>
    <w:bookmarkEnd w:id="10"/>
    <w:bookmarkEnd w:id="11"/>
    <w:bookmarkEnd w:id="12"/>
    <w:bookmarkEnd w:id="13"/>
    <w:bookmarkEnd w:id="14"/>
    <w:p>
      <w:pPr>
        <w:pStyle w:val="2"/>
        <w:spacing w:before="156" w:beforeLines="50" w:after="156" w:afterLines="50" w:line="600" w:lineRule="exact"/>
        <w:rPr>
          <w:rFonts w:ascii="仿宋" w:hAnsi="仿宋" w:eastAsia="仿宋"/>
          <w:sz w:val="24"/>
          <w:szCs w:val="24"/>
        </w:rPr>
      </w:pPr>
      <w:bookmarkStart w:id="15" w:name="_Toc425432708"/>
      <w:bookmarkStart w:id="16" w:name="_Toc395538889"/>
      <w:r>
        <w:rPr>
          <w:rFonts w:hint="eastAsia" w:ascii="仿宋" w:hAnsi="仿宋" w:eastAsia="仿宋"/>
          <w:sz w:val="24"/>
          <w:szCs w:val="24"/>
        </w:rPr>
        <w:t>3.1 材料费</w:t>
      </w:r>
    </w:p>
    <w:p>
      <w:pPr>
        <w:spacing w:line="300" w:lineRule="auto"/>
        <w:ind w:firstLine="480" w:firstLineChars="200"/>
        <w:rPr>
          <w:rFonts w:ascii="仿宋" w:hAnsi="仿宋" w:eastAsia="仿宋" w:cs="Arial"/>
          <w:sz w:val="24"/>
        </w:rPr>
      </w:pPr>
      <w:r>
        <w:rPr>
          <w:rFonts w:hint="eastAsia" w:ascii="仿宋" w:hAnsi="仿宋" w:eastAsia="仿宋" w:cs="Arial"/>
          <w:sz w:val="24"/>
        </w:rPr>
        <w:t>材料费是指在项目研究、试制过程中，必须使用的各种外购原材料、辅助材料、成品（含嵌入式软件）、半成品、存储器、元器件、陪试品和专用低值易耗品等所需费用，包括购买价款及运输、保险、装卸、筛选、整理、质保、废品损失等费用，以及相关税费。本项目材料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表2材料费报价明细表</w:t>
      </w:r>
    </w:p>
    <w:tbl>
      <w:tblPr>
        <w:tblStyle w:val="28"/>
        <w:tblW w:w="5000" w:type="pct"/>
        <w:tblInd w:w="0" w:type="dxa"/>
        <w:tblLayout w:type="fixed"/>
        <w:tblCellMar>
          <w:top w:w="0" w:type="dxa"/>
          <w:left w:w="108" w:type="dxa"/>
          <w:bottom w:w="0" w:type="dxa"/>
          <w:right w:w="108" w:type="dxa"/>
        </w:tblCellMar>
      </w:tblPr>
      <w:tblGrid>
        <w:gridCol w:w="535"/>
        <w:gridCol w:w="707"/>
        <w:gridCol w:w="709"/>
        <w:gridCol w:w="710"/>
        <w:gridCol w:w="708"/>
        <w:gridCol w:w="706"/>
        <w:gridCol w:w="708"/>
        <w:gridCol w:w="710"/>
        <w:gridCol w:w="710"/>
        <w:gridCol w:w="2325"/>
      </w:tblGrid>
      <w:tr>
        <w:tblPrEx>
          <w:tblCellMar>
            <w:top w:w="0" w:type="dxa"/>
            <w:left w:w="108" w:type="dxa"/>
            <w:bottom w:w="0" w:type="dxa"/>
            <w:right w:w="108" w:type="dxa"/>
          </w:tblCellMar>
        </w:tblPrEx>
        <w:trPr>
          <w:trHeight w:val="270" w:hRule="atLeast"/>
          <w:tblHeader/>
        </w:trPr>
        <w:tc>
          <w:tcPr>
            <w:tcW w:w="314"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序号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材料名称</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材料类型</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w:t>
            </w:r>
            <w:r>
              <w:rPr>
                <w:rFonts w:hint="eastAsia" w:ascii="仿宋" w:hAnsi="仿宋" w:eastAsia="仿宋"/>
                <w:b/>
                <w:bCs/>
                <w:color w:val="000000"/>
                <w:kern w:val="0"/>
                <w:sz w:val="18"/>
                <w:szCs w:val="18"/>
              </w:rPr>
              <w:t>牌号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材料标准</w:t>
            </w:r>
          </w:p>
        </w:tc>
        <w:tc>
          <w:tcPr>
            <w:tcW w:w="414"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计量单位</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重量/数量</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单价(元)</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总</w:t>
            </w:r>
            <w:r>
              <w:rPr>
                <w:rFonts w:ascii="仿宋" w:hAnsi="仿宋" w:eastAsia="仿宋"/>
                <w:b/>
                <w:bCs/>
                <w:color w:val="000000"/>
                <w:kern w:val="0"/>
                <w:sz w:val="18"/>
                <w:szCs w:val="18"/>
              </w:rPr>
              <w:t>价(元)</w:t>
            </w:r>
          </w:p>
        </w:tc>
        <w:tc>
          <w:tcPr>
            <w:tcW w:w="13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用途</w:t>
            </w: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3.2 专用费</w:t>
      </w:r>
    </w:p>
    <w:p>
      <w:pPr>
        <w:spacing w:line="300" w:lineRule="auto"/>
        <w:ind w:firstLine="480" w:firstLineChars="200"/>
        <w:rPr>
          <w:rFonts w:ascii="仿宋" w:hAnsi="仿宋" w:eastAsia="仿宋" w:cs="Arial"/>
          <w:sz w:val="24"/>
        </w:rPr>
      </w:pPr>
      <w:r>
        <w:rPr>
          <w:rFonts w:hint="eastAsia" w:ascii="仿宋" w:hAnsi="仿宋" w:eastAsia="仿宋" w:cs="Arial"/>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表3 专用费需求明细表</w:t>
      </w:r>
    </w:p>
    <w:tbl>
      <w:tblPr>
        <w:tblStyle w:val="28"/>
        <w:tblW w:w="5000" w:type="pct"/>
        <w:tblInd w:w="0" w:type="dxa"/>
        <w:tblLayout w:type="autofit"/>
        <w:tblCellMar>
          <w:top w:w="0" w:type="dxa"/>
          <w:left w:w="108" w:type="dxa"/>
          <w:bottom w:w="0" w:type="dxa"/>
          <w:right w:w="108" w:type="dxa"/>
        </w:tblCellMar>
      </w:tblPr>
      <w:tblGrid>
        <w:gridCol w:w="1066"/>
        <w:gridCol w:w="1066"/>
        <w:gridCol w:w="1066"/>
        <w:gridCol w:w="1066"/>
        <w:gridCol w:w="1066"/>
        <w:gridCol w:w="1066"/>
        <w:gridCol w:w="1066"/>
        <w:gridCol w:w="1066"/>
      </w:tblGrid>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专用费－专用工具软件费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专用费－技术引进费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专用费－专用工具装备费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专用费－随产品交付的专用测试仪器</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专用费－知识产权使用费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专用费合计</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bl>
    <w:p>
      <w:pPr>
        <w:pStyle w:val="2"/>
        <w:spacing w:before="156" w:beforeLines="50" w:after="156" w:afterLines="50" w:line="600" w:lineRule="exact"/>
        <w:rPr>
          <w:rFonts w:ascii="仿宋" w:hAnsi="仿宋" w:eastAsia="仿宋"/>
          <w:sz w:val="24"/>
          <w:szCs w:val="24"/>
        </w:rPr>
      </w:pPr>
      <w:bookmarkStart w:id="17" w:name="_Toc17971460"/>
      <w:r>
        <w:rPr>
          <w:rFonts w:hint="eastAsia" w:ascii="仿宋" w:hAnsi="仿宋" w:eastAsia="仿宋"/>
          <w:sz w:val="24"/>
          <w:szCs w:val="24"/>
        </w:rPr>
        <w:t>3.3.外协费</w:t>
      </w:r>
      <w:bookmarkEnd w:id="17"/>
    </w:p>
    <w:p>
      <w:pPr>
        <w:spacing w:line="300" w:lineRule="auto"/>
        <w:ind w:firstLine="480" w:firstLineChars="200"/>
        <w:rPr>
          <w:rFonts w:ascii="仿宋" w:hAnsi="仿宋" w:eastAsia="仿宋" w:cs="Arial"/>
          <w:sz w:val="24"/>
        </w:rPr>
      </w:pPr>
      <w:r>
        <w:rPr>
          <w:rFonts w:hint="eastAsia" w:ascii="仿宋" w:hAnsi="仿宋" w:eastAsia="仿宋" w:cs="Arial"/>
          <w:sz w:val="24"/>
        </w:rPr>
        <w:t>外协费是指在项目研究、试制过程中，项目承担单位由于自身的技术、工艺和设备等条件限制，必须由外单位进行研制、研究、设计、加工、检测、软件评测、试验等所需的费用。本项目外协费为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表4 外协费明细表</w:t>
      </w:r>
    </w:p>
    <w:tbl>
      <w:tblPr>
        <w:tblStyle w:val="28"/>
        <w:tblW w:w="5000" w:type="pct"/>
        <w:tblInd w:w="0" w:type="dxa"/>
        <w:tblLayout w:type="autofit"/>
        <w:tblCellMar>
          <w:top w:w="0" w:type="dxa"/>
          <w:left w:w="108" w:type="dxa"/>
          <w:bottom w:w="0" w:type="dxa"/>
          <w:right w:w="108" w:type="dxa"/>
        </w:tblCellMar>
      </w:tblPr>
      <w:tblGrid>
        <w:gridCol w:w="723"/>
        <w:gridCol w:w="1301"/>
        <w:gridCol w:w="1301"/>
        <w:gridCol w:w="1301"/>
        <w:gridCol w:w="1301"/>
        <w:gridCol w:w="1302"/>
        <w:gridCol w:w="1299"/>
      </w:tblGrid>
      <w:tr>
        <w:tblPrEx>
          <w:tblCellMar>
            <w:top w:w="0" w:type="dxa"/>
            <w:left w:w="108" w:type="dxa"/>
            <w:bottom w:w="0" w:type="dxa"/>
            <w:right w:w="108" w:type="dxa"/>
          </w:tblCellMar>
        </w:tblPrEx>
        <w:trPr>
          <w:trHeight w:val="270" w:hRule="atLeast"/>
          <w:tblHeader/>
        </w:trPr>
        <w:tc>
          <w:tcPr>
            <w:tcW w:w="424"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外协名称</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外协内容</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外协必要性</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拟外协单位</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外协价格（元）</w:t>
            </w:r>
          </w:p>
        </w:tc>
        <w:tc>
          <w:tcPr>
            <w:tcW w:w="761"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rPr>
          <w:trHeight w:val="270" w:hRule="atLeast"/>
        </w:trPr>
        <w:tc>
          <w:tcPr>
            <w:tcW w:w="3476" w:type="pct"/>
            <w:gridSpan w:val="5"/>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763"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761"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3.4.燃料动力费</w:t>
      </w:r>
    </w:p>
    <w:p>
      <w:pPr>
        <w:spacing w:line="300" w:lineRule="auto"/>
        <w:ind w:firstLine="480" w:firstLineChars="200"/>
        <w:rPr>
          <w:rFonts w:ascii="仿宋" w:hAnsi="仿宋" w:eastAsia="仿宋" w:cs="Arial"/>
          <w:sz w:val="24"/>
        </w:rPr>
      </w:pPr>
      <w:r>
        <w:rPr>
          <w:rFonts w:hint="eastAsia" w:ascii="仿宋" w:hAnsi="仿宋" w:eastAsia="仿宋" w:cs="Arial"/>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表5 燃料动力费明细表</w:t>
      </w:r>
    </w:p>
    <w:tbl>
      <w:tblPr>
        <w:tblStyle w:val="28"/>
        <w:tblW w:w="5000" w:type="pct"/>
        <w:tblInd w:w="0" w:type="dxa"/>
        <w:tblLayout w:type="autofit"/>
        <w:tblCellMar>
          <w:top w:w="0" w:type="dxa"/>
          <w:left w:w="108" w:type="dxa"/>
          <w:bottom w:w="0" w:type="dxa"/>
          <w:right w:w="108" w:type="dxa"/>
        </w:tblCellMar>
      </w:tblPr>
      <w:tblGrid>
        <w:gridCol w:w="603"/>
        <w:gridCol w:w="1092"/>
        <w:gridCol w:w="1092"/>
        <w:gridCol w:w="1433"/>
        <w:gridCol w:w="1559"/>
        <w:gridCol w:w="2749"/>
      </w:tblGrid>
      <w:tr>
        <w:tblPrEx>
          <w:tblCellMar>
            <w:top w:w="0" w:type="dxa"/>
            <w:left w:w="108" w:type="dxa"/>
            <w:bottom w:w="0" w:type="dxa"/>
            <w:right w:w="108" w:type="dxa"/>
          </w:tblCellMar>
        </w:tblPrEx>
        <w:trPr>
          <w:trHeight w:val="450" w:hRule="atLeast"/>
        </w:trPr>
        <w:tc>
          <w:tcPr>
            <w:tcW w:w="354"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40"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试验名称</w:t>
            </w:r>
          </w:p>
        </w:tc>
        <w:tc>
          <w:tcPr>
            <w:tcW w:w="640"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时数</w:t>
            </w:r>
          </w:p>
        </w:tc>
        <w:tc>
          <w:tcPr>
            <w:tcW w:w="840"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燃料动力费率（元/时）</w:t>
            </w:r>
          </w:p>
        </w:tc>
        <w:tc>
          <w:tcPr>
            <w:tcW w:w="914"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燃料动力费用（元）</w:t>
            </w:r>
          </w:p>
        </w:tc>
        <w:tc>
          <w:tcPr>
            <w:tcW w:w="1612"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450" w:hRule="atLeast"/>
        </w:trPr>
        <w:tc>
          <w:tcPr>
            <w:tcW w:w="35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40"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4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4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14"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1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270" w:hRule="atLeast"/>
        </w:trPr>
        <w:tc>
          <w:tcPr>
            <w:tcW w:w="2474" w:type="pct"/>
            <w:gridSpan w:val="4"/>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914"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612" w:type="pct"/>
            <w:tcBorders>
              <w:top w:val="nil"/>
              <w:left w:val="nil"/>
              <w:bottom w:val="single" w:color="auto" w:sz="4" w:space="0"/>
              <w:right w:val="single" w:color="auto" w:sz="4" w:space="0"/>
            </w:tcBorders>
            <w:shd w:val="clear" w:color="000000" w:fill="D9D9D9"/>
            <w:vAlign w:val="center"/>
          </w:tcPr>
          <w:p>
            <w:pPr>
              <w:widowControl/>
              <w:adjustRightInd w:val="0"/>
              <w:snapToGrid w:val="0"/>
              <w:jc w:val="left"/>
              <w:rPr>
                <w:rFonts w:ascii="仿宋" w:hAnsi="仿宋" w:eastAsia="仿宋"/>
                <w:color w:val="000000"/>
                <w:kern w:val="0"/>
                <w:sz w:val="20"/>
                <w:szCs w:val="20"/>
              </w:rPr>
            </w:pPr>
            <w:r>
              <w:rPr>
                <w:rFonts w:ascii="仿宋" w:hAnsi="仿宋" w:eastAsia="仿宋"/>
                <w:color w:val="000000"/>
                <w:kern w:val="0"/>
                <w:sz w:val="20"/>
                <w:szCs w:val="20"/>
              </w:rPr>
              <w:t>　</w:t>
            </w: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3.5 事务费</w:t>
      </w:r>
    </w:p>
    <w:p>
      <w:pPr>
        <w:spacing w:line="300" w:lineRule="auto"/>
        <w:ind w:firstLine="480" w:firstLineChars="200"/>
        <w:rPr>
          <w:rFonts w:ascii="仿宋" w:hAnsi="仿宋" w:eastAsia="仿宋" w:cs="Arial"/>
          <w:sz w:val="24"/>
        </w:rPr>
      </w:pPr>
      <w:r>
        <w:rPr>
          <w:rFonts w:hint="eastAsia" w:ascii="仿宋" w:hAnsi="仿宋" w:eastAsia="仿宋" w:cs="Arial"/>
          <w:sz w:val="24"/>
        </w:rPr>
        <w:t>事务费是指在项目研究、试制过程中必须发生的会议费、差旅费和专家咨询费。本项目事务费为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（1）会议费是指在项目研究、试制过程中组织开展学术研讨、咨询、评审以及项目协调等活动发生的会议场所租赁费、租车费、资料费、伙食费、住宿费、交通费等。本项目期间因</w:t>
      </w:r>
      <w:r>
        <w:rPr>
          <w:rFonts w:hint="eastAsia" w:ascii="仿宋" w:hAnsi="仿宋" w:eastAsia="仿宋" w:cs="Arial"/>
          <w:sz w:val="24"/>
          <w:u w:val="single"/>
        </w:rPr>
        <w:t>XX</w:t>
      </w:r>
      <w:r>
        <w:rPr>
          <w:rFonts w:hint="eastAsia" w:ascii="仿宋" w:hAnsi="仿宋" w:eastAsia="仿宋" w:cs="Arial"/>
          <w:sz w:val="24"/>
        </w:rPr>
        <w:t>任务预计发生会议次数为</w:t>
      </w:r>
      <w:r>
        <w:rPr>
          <w:rFonts w:hint="eastAsia" w:ascii="仿宋" w:hAnsi="仿宋" w:eastAsia="仿宋" w:cs="Arial"/>
          <w:sz w:val="24"/>
          <w:u w:val="single"/>
        </w:rPr>
        <w:t>XX</w:t>
      </w:r>
      <w:r>
        <w:rPr>
          <w:rFonts w:hint="eastAsia" w:ascii="仿宋" w:hAnsi="仿宋" w:eastAsia="仿宋" w:cs="Arial"/>
          <w:sz w:val="24"/>
        </w:rPr>
        <w:t>，预计平均会议费标准为</w:t>
      </w:r>
      <w:r>
        <w:rPr>
          <w:rFonts w:hint="eastAsia" w:ascii="仿宋" w:hAnsi="仿宋" w:eastAsia="仿宋" w:cs="Arial"/>
          <w:sz w:val="24"/>
          <w:u w:val="single"/>
        </w:rPr>
        <w:t>XX万元/次</w:t>
      </w:r>
      <w:r>
        <w:rPr>
          <w:rFonts w:hint="eastAsia" w:ascii="仿宋" w:hAnsi="仿宋" w:eastAsia="仿宋" w:cs="Arial"/>
          <w:sz w:val="24"/>
        </w:rPr>
        <w:t>，因此，本项目会议费为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（2）差旅费是指在项目研究、试制过程中为开展科学实验(试验)、科学考察、业务调研、学术交流等发生的国内外差旅费，包括交通费、住宿费、伙食补贴费等。本项目周期自</w:t>
      </w:r>
      <w:r>
        <w:rPr>
          <w:rFonts w:hint="eastAsia" w:ascii="仿宋" w:hAnsi="仿宋" w:eastAsia="仿宋" w:cs="Arial"/>
          <w:sz w:val="24"/>
          <w:u w:val="single"/>
        </w:rPr>
        <w:t>X年X月X日</w:t>
      </w:r>
      <w:r>
        <w:rPr>
          <w:rFonts w:hint="eastAsia" w:ascii="仿宋" w:hAnsi="仿宋" w:eastAsia="仿宋" w:cs="Arial"/>
          <w:sz w:val="24"/>
        </w:rPr>
        <w:t>至</w:t>
      </w:r>
      <w:r>
        <w:rPr>
          <w:rFonts w:hint="eastAsia" w:ascii="仿宋" w:hAnsi="仿宋" w:eastAsia="仿宋" w:cs="Arial"/>
          <w:sz w:val="24"/>
          <w:u w:val="single"/>
        </w:rPr>
        <w:t>X年X月X日</w:t>
      </w:r>
      <w:r>
        <w:rPr>
          <w:rFonts w:hint="eastAsia" w:ascii="仿宋" w:hAnsi="仿宋" w:eastAsia="仿宋" w:cs="Arial"/>
          <w:sz w:val="24"/>
        </w:rPr>
        <w:t>，期间因</w:t>
      </w:r>
      <w:r>
        <w:rPr>
          <w:rFonts w:hint="eastAsia" w:ascii="仿宋" w:hAnsi="仿宋" w:eastAsia="仿宋" w:cs="Arial"/>
          <w:sz w:val="24"/>
          <w:u w:val="single"/>
        </w:rPr>
        <w:t>XX任务</w:t>
      </w:r>
      <w:r>
        <w:rPr>
          <w:rFonts w:hint="eastAsia" w:ascii="仿宋" w:hAnsi="仿宋" w:eastAsia="仿宋" w:cs="Arial"/>
          <w:sz w:val="24"/>
        </w:rPr>
        <w:t>预计发生差旅次数为</w:t>
      </w:r>
      <w:r>
        <w:rPr>
          <w:rFonts w:hint="eastAsia" w:ascii="仿宋" w:hAnsi="仿宋" w:eastAsia="仿宋" w:cs="Arial"/>
          <w:sz w:val="24"/>
          <w:u w:val="single"/>
        </w:rPr>
        <w:t>XX</w:t>
      </w:r>
      <w:r>
        <w:rPr>
          <w:rFonts w:hint="eastAsia" w:ascii="仿宋" w:hAnsi="仿宋" w:eastAsia="仿宋" w:cs="Arial"/>
          <w:sz w:val="24"/>
        </w:rPr>
        <w:t>，预计平均差旅费标准为</w:t>
      </w:r>
      <w:r>
        <w:rPr>
          <w:rFonts w:hint="eastAsia" w:ascii="仿宋" w:hAnsi="仿宋" w:eastAsia="仿宋" w:cs="Arial"/>
          <w:sz w:val="24"/>
          <w:u w:val="single"/>
        </w:rPr>
        <w:t>XX万元/次</w:t>
      </w:r>
      <w:r>
        <w:rPr>
          <w:rFonts w:hint="eastAsia" w:ascii="仿宋" w:hAnsi="仿宋" w:eastAsia="仿宋" w:cs="Arial"/>
          <w:sz w:val="24"/>
        </w:rPr>
        <w:t>，因此，本项目差旅费为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（3）专家咨询费是指在项目研究试制过程中一次性支付给外单位专家的评审咨询费用。本项目期间因</w:t>
      </w:r>
      <w:r>
        <w:rPr>
          <w:rFonts w:hint="eastAsia" w:ascii="仿宋" w:hAnsi="仿宋" w:eastAsia="仿宋" w:cs="Arial"/>
          <w:sz w:val="24"/>
          <w:u w:val="single"/>
        </w:rPr>
        <w:t>XX任务</w:t>
      </w:r>
      <w:r>
        <w:rPr>
          <w:rFonts w:hint="eastAsia" w:ascii="仿宋" w:hAnsi="仿宋" w:eastAsia="仿宋" w:cs="Arial"/>
          <w:sz w:val="24"/>
        </w:rPr>
        <w:t>预计发生专家咨询次数为</w:t>
      </w:r>
      <w:r>
        <w:rPr>
          <w:rFonts w:hint="eastAsia" w:ascii="仿宋" w:hAnsi="仿宋" w:eastAsia="仿宋" w:cs="Arial"/>
          <w:sz w:val="24"/>
          <w:u w:val="single"/>
        </w:rPr>
        <w:t>XX</w:t>
      </w:r>
      <w:r>
        <w:rPr>
          <w:rFonts w:hint="eastAsia" w:ascii="仿宋" w:hAnsi="仿宋" w:eastAsia="仿宋" w:cs="Arial"/>
          <w:sz w:val="24"/>
        </w:rPr>
        <w:t>，预计平均专家咨询费标准为</w:t>
      </w:r>
      <w:r>
        <w:rPr>
          <w:rFonts w:hint="eastAsia" w:ascii="仿宋" w:hAnsi="仿宋" w:eastAsia="仿宋" w:cs="Arial"/>
          <w:sz w:val="24"/>
          <w:u w:val="single"/>
        </w:rPr>
        <w:t>XX万元/次</w:t>
      </w:r>
      <w:r>
        <w:rPr>
          <w:rFonts w:hint="eastAsia" w:ascii="仿宋" w:hAnsi="仿宋" w:eastAsia="仿宋" w:cs="Arial"/>
          <w:sz w:val="24"/>
        </w:rPr>
        <w:t>，因此，本项目专家咨询费为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事务费按项目类别分类计列：</w:t>
      </w:r>
    </w:p>
    <w:p>
      <w:pPr>
        <w:spacing w:line="300" w:lineRule="auto"/>
        <w:ind w:firstLine="480" w:firstLineChars="200"/>
        <w:rPr>
          <w:rFonts w:ascii="仿宋" w:hAnsi="仿宋" w:eastAsia="仿宋" w:cs="Arial"/>
          <w:sz w:val="24"/>
        </w:rPr>
      </w:pPr>
      <w:r>
        <w:rPr>
          <w:rFonts w:hint="eastAsia" w:ascii="仿宋" w:hAnsi="仿宋" w:eastAsia="仿宋" w:cs="Arial"/>
          <w:sz w:val="24"/>
        </w:rPr>
        <w:t>试制类项目和技术类项目，其事务费以材料费、专用费、50%外协费三项之和为基数，按不超过表一所列比例超额累退计算。</w:t>
      </w:r>
    </w:p>
    <w:p>
      <w:pPr>
        <w:spacing w:line="300" w:lineRule="auto"/>
        <w:ind w:firstLine="480" w:firstLineChars="200"/>
        <w:rPr>
          <w:rFonts w:ascii="仿宋" w:hAnsi="仿宋" w:eastAsia="仿宋" w:cs="Arial"/>
          <w:sz w:val="30"/>
          <w:szCs w:val="30"/>
        </w:rPr>
      </w:pPr>
      <w:r>
        <w:rPr>
          <w:rFonts w:hint="eastAsia" w:ascii="仿宋" w:hAnsi="仿宋" w:eastAsia="仿宋" w:cs="Arial"/>
          <w:sz w:val="24"/>
        </w:rPr>
        <w:t>研究类项目，其事务费以材料费、专用费、50%外协费、工资及劳务费四项之和为基数，按不超过表二所列比例超额累退计算。</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 xml:space="preserve">表6 超额累退比例表一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3292"/>
        <w:gridCol w:w="1980"/>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restar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1930" w:type="pct"/>
            <w:vMerge w:val="restart"/>
            <w:shd w:val="clear" w:color="auto" w:fill="D9D9D9"/>
            <w:vAlign w:val="center"/>
          </w:tcPr>
          <w:p>
            <w:pPr>
              <w:widowControl/>
              <w:adjustRightInd w:val="0"/>
              <w:snapToGrid w:val="0"/>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外协费之和（万元）</w:t>
            </w:r>
          </w:p>
        </w:tc>
        <w:tc>
          <w:tcPr>
            <w:tcW w:w="2432" w:type="pct"/>
            <w:gridSpan w:val="2"/>
            <w:shd w:val="clear" w:color="auto" w:fill="D9D9D9"/>
            <w:vAlign w:val="center"/>
          </w:tcPr>
          <w:p>
            <w:pPr>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事务费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continue"/>
            <w:shd w:val="clear" w:color="auto" w:fill="D9D9D9"/>
            <w:vAlign w:val="center"/>
          </w:tcPr>
          <w:p>
            <w:pPr>
              <w:widowControl/>
              <w:adjustRightInd w:val="0"/>
              <w:snapToGrid w:val="0"/>
              <w:rPr>
                <w:rFonts w:ascii="仿宋" w:hAnsi="仿宋" w:eastAsia="仿宋" w:cs="仿宋_GB2312"/>
                <w:b/>
                <w:kern w:val="0"/>
                <w:sz w:val="18"/>
                <w:szCs w:val="18"/>
              </w:rPr>
            </w:pPr>
          </w:p>
        </w:tc>
        <w:tc>
          <w:tcPr>
            <w:tcW w:w="1930" w:type="pct"/>
            <w:vMerge w:val="continue"/>
            <w:shd w:val="clear" w:color="auto" w:fill="D9D9D9"/>
            <w:vAlign w:val="center"/>
          </w:tcPr>
          <w:p>
            <w:pPr>
              <w:widowControl/>
              <w:adjustRightInd w:val="0"/>
              <w:snapToGrid w:val="0"/>
              <w:rPr>
                <w:rFonts w:ascii="仿宋" w:hAnsi="仿宋" w:eastAsia="仿宋" w:cs="仿宋_GB2312"/>
                <w:b/>
                <w:kern w:val="0"/>
                <w:sz w:val="18"/>
                <w:szCs w:val="18"/>
              </w:rPr>
            </w:pPr>
          </w:p>
        </w:tc>
        <w:tc>
          <w:tcPr>
            <w:tcW w:w="1161" w:type="pct"/>
            <w:shd w:val="clear" w:color="auto" w:fill="D9D9D9"/>
            <w:vAlign w:val="center"/>
          </w:tcPr>
          <w:p>
            <w:pPr>
              <w:adjustRightInd w:val="0"/>
              <w:snapToGrid w:val="0"/>
              <w:jc w:val="center"/>
              <w:rPr>
                <w:rFonts w:ascii="仿宋" w:hAnsi="仿宋" w:eastAsia="仿宋" w:cs="仿宋_GB2312"/>
                <w:b/>
                <w:kern w:val="0"/>
                <w:sz w:val="18"/>
                <w:szCs w:val="18"/>
              </w:rPr>
            </w:pPr>
            <w:r>
              <w:rPr>
                <w:rFonts w:hint="eastAsia" w:ascii="仿宋" w:hAnsi="仿宋" w:eastAsia="仿宋" w:cs="仿宋_GB2312"/>
                <w:b/>
                <w:sz w:val="18"/>
                <w:szCs w:val="18"/>
              </w:rPr>
              <w:t>试制类</w:t>
            </w:r>
            <w:r>
              <w:rPr>
                <w:rFonts w:hint="eastAsia" w:ascii="仿宋" w:hAnsi="仿宋" w:eastAsia="仿宋" w:cs="仿宋_GB2312"/>
                <w:b/>
                <w:kern w:val="0"/>
                <w:sz w:val="18"/>
                <w:szCs w:val="18"/>
              </w:rPr>
              <w:t>项目</w:t>
            </w:r>
          </w:p>
        </w:tc>
        <w:tc>
          <w:tcPr>
            <w:tcW w:w="1271" w:type="pct"/>
            <w:shd w:val="clear" w:color="auto" w:fill="D9D9D9"/>
            <w:vAlign w:val="center"/>
          </w:tcPr>
          <w:p>
            <w:pPr>
              <w:adjustRightInd w:val="0"/>
              <w:snapToGrid w:val="0"/>
              <w:jc w:val="center"/>
              <w:rPr>
                <w:rFonts w:ascii="仿宋" w:hAnsi="仿宋" w:eastAsia="仿宋" w:cs="仿宋_GB2312"/>
                <w:b/>
                <w:kern w:val="0"/>
                <w:sz w:val="18"/>
                <w:szCs w:val="18"/>
              </w:rPr>
            </w:pPr>
            <w:r>
              <w:rPr>
                <w:rFonts w:hint="eastAsia" w:ascii="仿宋" w:hAnsi="仿宋" w:eastAsia="仿宋" w:cs="仿宋_GB2312"/>
                <w:b/>
                <w:kern w:val="0"/>
                <w:sz w:val="18"/>
                <w:szCs w:val="18"/>
              </w:rPr>
              <w:t>技术类项目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w:t>
            </w:r>
            <w:r>
              <w:rPr>
                <w:rFonts w:hint="eastAsia" w:ascii="仿宋" w:hAnsi="仿宋" w:eastAsia="仿宋" w:cs="仿宋_GB2312"/>
                <w:kern w:val="0"/>
                <w:sz w:val="18"/>
                <w:szCs w:val="18"/>
              </w:rPr>
              <w:t>以下(含）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50-200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3</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200-500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11%</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4</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7%</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5</w:t>
            </w:r>
          </w:p>
        </w:tc>
        <w:tc>
          <w:tcPr>
            <w:tcW w:w="1930" w:type="pct"/>
          </w:tcPr>
          <w:p>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6.5%</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6</w:t>
            </w:r>
          </w:p>
        </w:tc>
        <w:tc>
          <w:tcPr>
            <w:tcW w:w="1930" w:type="pct"/>
          </w:tcPr>
          <w:p>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5</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4.5%</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7</w:t>
            </w:r>
          </w:p>
        </w:tc>
        <w:tc>
          <w:tcPr>
            <w:tcW w:w="1930" w:type="pct"/>
          </w:tcPr>
          <w:p>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5000-</w:t>
            </w:r>
            <w:r>
              <w:rPr>
                <w:rFonts w:ascii="仿宋" w:hAnsi="仿宋" w:eastAsia="仿宋" w:cs="仿宋_GB2312"/>
                <w:kern w:val="0"/>
                <w:sz w:val="18"/>
                <w:szCs w:val="18"/>
              </w:rPr>
              <w:t>10000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8</w:t>
            </w:r>
          </w:p>
        </w:tc>
        <w:tc>
          <w:tcPr>
            <w:tcW w:w="1930" w:type="pct"/>
          </w:tcPr>
          <w:p>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10000以上</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2%</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r>
    </w:tbl>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表7 超额累退比例表二</w:t>
      </w:r>
    </w:p>
    <w:tbl>
      <w:tblPr>
        <w:tblStyle w:val="28"/>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505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blHeader/>
          <w:jc w:val="center"/>
        </w:trPr>
        <w:tc>
          <w:tcPr>
            <w:tcW w:w="615" w:type="pc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2927" w:type="pc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外协费、工资及劳务费之和（万元）</w:t>
            </w:r>
          </w:p>
        </w:tc>
        <w:tc>
          <w:tcPr>
            <w:tcW w:w="1458" w:type="pc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研究类项目事务费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（含）以下</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3</w:t>
            </w:r>
          </w:p>
        </w:tc>
        <w:tc>
          <w:tcPr>
            <w:tcW w:w="2927" w:type="pct"/>
          </w:tcPr>
          <w:p>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1000-2000（含）</w:t>
            </w:r>
          </w:p>
        </w:tc>
        <w:tc>
          <w:tcPr>
            <w:tcW w:w="1458" w:type="pct"/>
            <w:vAlign w:val="center"/>
          </w:tcPr>
          <w:p>
            <w:pPr>
              <w:widowControl/>
              <w:adjustRightInd w:val="0"/>
              <w:snapToGrid w:val="0"/>
              <w:jc w:val="center"/>
              <w:rPr>
                <w:rFonts w:ascii="仿宋" w:hAnsi="仿宋" w:eastAsia="仿宋" w:cs="仿宋_GB2312"/>
                <w:kern w:val="0"/>
                <w:sz w:val="18"/>
                <w:szCs w:val="18"/>
                <w:highlight w:val="yellow"/>
              </w:rPr>
            </w:pPr>
            <w:r>
              <w:rPr>
                <w:rFonts w:ascii="仿宋" w:hAnsi="仿宋" w:eastAsia="仿宋"/>
                <w:color w:val="00000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4</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2000-</w:t>
            </w:r>
            <w:r>
              <w:rPr>
                <w:rFonts w:hint="eastAsia" w:ascii="仿宋" w:hAnsi="仿宋" w:eastAsia="仿宋" w:cs="仿宋_GB2312"/>
                <w:kern w:val="0"/>
                <w:sz w:val="18"/>
                <w:szCs w:val="18"/>
              </w:rPr>
              <w:t>5000（含）</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5</w:t>
            </w:r>
          </w:p>
        </w:tc>
        <w:tc>
          <w:tcPr>
            <w:tcW w:w="2927" w:type="pct"/>
          </w:tcPr>
          <w:p>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5000-10000（含）</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6</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10000</w:t>
            </w:r>
            <w:r>
              <w:rPr>
                <w:rFonts w:hint="eastAsia" w:ascii="仿宋" w:hAnsi="仿宋" w:eastAsia="仿宋" w:cs="仿宋_GB2312"/>
                <w:kern w:val="0"/>
                <w:sz w:val="18"/>
                <w:szCs w:val="18"/>
              </w:rPr>
              <w:t>以上</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15%</w:t>
            </w:r>
          </w:p>
        </w:tc>
      </w:tr>
    </w:tbl>
    <w:p>
      <w:pPr>
        <w:pStyle w:val="2"/>
        <w:spacing w:before="156" w:beforeLines="50" w:after="156" w:afterLines="50" w:line="600" w:lineRule="exact"/>
        <w:rPr>
          <w:rFonts w:ascii="仿宋" w:hAnsi="仿宋" w:eastAsia="仿宋"/>
          <w:sz w:val="24"/>
          <w:szCs w:val="24"/>
        </w:rPr>
      </w:pPr>
      <w:bookmarkStart w:id="18" w:name="_Toc15481535"/>
      <w:bookmarkStart w:id="19" w:name="_Toc17971463"/>
      <w:r>
        <w:rPr>
          <w:rFonts w:hint="eastAsia" w:ascii="仿宋" w:hAnsi="仿宋" w:eastAsia="仿宋"/>
          <w:sz w:val="24"/>
          <w:szCs w:val="24"/>
        </w:rPr>
        <w:t>3.6 固定资产折旧费</w:t>
      </w:r>
      <w:bookmarkEnd w:id="18"/>
      <w:bookmarkEnd w:id="19"/>
    </w:p>
    <w:p>
      <w:pPr>
        <w:spacing w:line="300" w:lineRule="auto"/>
        <w:ind w:firstLine="480" w:firstLineChars="200"/>
        <w:rPr>
          <w:rFonts w:ascii="仿宋" w:hAnsi="仿宋" w:eastAsia="仿宋" w:cs="Arial"/>
          <w:sz w:val="30"/>
          <w:szCs w:val="30"/>
        </w:rPr>
      </w:pPr>
      <w:r>
        <w:rPr>
          <w:rFonts w:hint="eastAsia" w:ascii="仿宋" w:hAnsi="仿宋" w:eastAsia="仿宋" w:cs="Arial"/>
          <w:sz w:val="24"/>
        </w:rPr>
        <w:t>固定资产折旧费是指在项目研究、试制过程中直接用于该项目的固定资产应计列的折旧。本项目固定资产折旧费为</w:t>
      </w:r>
      <w:r>
        <w:rPr>
          <w:rFonts w:hint="eastAsia" w:ascii="仿宋" w:hAnsi="仿宋" w:eastAsia="仿宋" w:cs="Arial"/>
          <w:sz w:val="24"/>
          <w:u w:val="single"/>
        </w:rPr>
        <w:t>XX万元</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30"/>
          <w:szCs w:val="30"/>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表8 XX单位固定资产折旧数据表</w:t>
      </w:r>
    </w:p>
    <w:tbl>
      <w:tblPr>
        <w:tblStyle w:val="28"/>
        <w:tblW w:w="5000" w:type="pct"/>
        <w:tblInd w:w="0" w:type="dxa"/>
        <w:tblLayout w:type="autofit"/>
        <w:tblCellMar>
          <w:top w:w="0" w:type="dxa"/>
          <w:left w:w="108" w:type="dxa"/>
          <w:bottom w:w="0" w:type="dxa"/>
          <w:right w:w="108" w:type="dxa"/>
        </w:tblCellMar>
      </w:tblPr>
      <w:tblGrid>
        <w:gridCol w:w="578"/>
        <w:gridCol w:w="939"/>
        <w:gridCol w:w="1428"/>
        <w:gridCol w:w="708"/>
        <w:gridCol w:w="2308"/>
        <w:gridCol w:w="2567"/>
      </w:tblGrid>
      <w:tr>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551"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资产名称</w:t>
            </w:r>
          </w:p>
        </w:tc>
        <w:tc>
          <w:tcPr>
            <w:tcW w:w="837"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（万元）</w:t>
            </w:r>
          </w:p>
        </w:tc>
        <w:tc>
          <w:tcPr>
            <w:tcW w:w="415"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资产类别</w:t>
            </w:r>
          </w:p>
        </w:tc>
        <w:tc>
          <w:tcPr>
            <w:tcW w:w="1353"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是否直接</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用于本项目</w:t>
            </w:r>
          </w:p>
        </w:tc>
        <w:tc>
          <w:tcPr>
            <w:tcW w:w="150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直接用于本项目</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资产原值（万元）</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5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3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5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0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889" w:type="pct"/>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837"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415"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353"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505"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pPr>
        <w:rPr>
          <w:rFonts w:ascii="仿宋" w:hAnsi="仿宋" w:eastAsia="仿宋"/>
        </w:rPr>
      </w:pPr>
      <w:r>
        <w:rPr>
          <w:rFonts w:hint="eastAsia" w:ascii="仿宋" w:hAnsi="仿宋" w:eastAsia="仿宋"/>
        </w:rPr>
        <w:t>注：资产类别填写房屋类/设备类。</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 xml:space="preserve">.7 </w:t>
      </w:r>
      <w:r>
        <w:rPr>
          <w:rFonts w:hint="eastAsia" w:ascii="仿宋" w:hAnsi="仿宋" w:eastAsia="仿宋"/>
          <w:sz w:val="24"/>
          <w:szCs w:val="24"/>
        </w:rPr>
        <w:t>管理费</w:t>
      </w:r>
    </w:p>
    <w:p>
      <w:pPr>
        <w:spacing w:line="300" w:lineRule="auto"/>
        <w:ind w:firstLine="480" w:firstLineChars="200"/>
        <w:rPr>
          <w:rFonts w:ascii="仿宋" w:hAnsi="仿宋" w:eastAsia="仿宋" w:cs="Arial"/>
          <w:sz w:val="24"/>
        </w:rPr>
      </w:pPr>
      <w:r>
        <w:rPr>
          <w:rFonts w:hint="eastAsia" w:ascii="仿宋" w:hAnsi="仿宋" w:eastAsia="仿宋" w:cs="Arial"/>
          <w:sz w:val="24"/>
        </w:rPr>
        <w:t>管理费是指在项目研究、试制过程中直接发生的管理性支出，以及分摊转入的研制费用（或制造费用）及管理费用等。本项目管理费为</w:t>
      </w:r>
      <w:r>
        <w:rPr>
          <w:rFonts w:hint="eastAsia" w:ascii="仿宋" w:hAnsi="仿宋" w:eastAsia="仿宋" w:cs="Arial"/>
          <w:sz w:val="24"/>
          <w:u w:val="single"/>
        </w:rPr>
        <w:t>XX万元</w:t>
      </w:r>
      <w:r>
        <w:rPr>
          <w:rFonts w:hint="eastAsia" w:ascii="仿宋" w:hAnsi="仿宋" w:eastAsia="仿宋" w:cs="Arial"/>
          <w:sz w:val="24"/>
        </w:rPr>
        <w:t>，计算比例为</w:t>
      </w:r>
      <w:r>
        <w:rPr>
          <w:rFonts w:hint="eastAsia" w:ascii="仿宋" w:hAnsi="仿宋" w:eastAsia="仿宋" w:cs="Arial"/>
          <w:sz w:val="24"/>
          <w:u w:val="single"/>
        </w:rPr>
        <w:t>XX</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试制类项目的管理费按不超过材料费、专用费、50%外协费、燃料动力费、事务费、固定资产折旧费六项之和的12%计列。</w:t>
      </w:r>
    </w:p>
    <w:p>
      <w:pPr>
        <w:spacing w:line="300" w:lineRule="auto"/>
        <w:ind w:firstLine="480" w:firstLineChars="200"/>
        <w:rPr>
          <w:rFonts w:ascii="仿宋" w:hAnsi="仿宋" w:eastAsia="仿宋" w:cs="Arial"/>
          <w:sz w:val="24"/>
        </w:rPr>
      </w:pPr>
      <w:r>
        <w:rPr>
          <w:rFonts w:hint="eastAsia" w:ascii="仿宋" w:hAnsi="仿宋" w:eastAsia="仿宋" w:cs="Arial"/>
          <w:sz w:val="24"/>
        </w:rPr>
        <w:t>技术类项目的管理费按不超过材料费、专用费、50%外协费、燃料动力费、事务费、固定资产折旧费六项之和的15%计列。</w:t>
      </w:r>
    </w:p>
    <w:p>
      <w:pPr>
        <w:spacing w:line="300" w:lineRule="auto"/>
        <w:ind w:firstLine="480" w:firstLineChars="200"/>
        <w:rPr>
          <w:rFonts w:ascii="仿宋" w:hAnsi="仿宋" w:eastAsia="仿宋" w:cs="Arial"/>
          <w:sz w:val="24"/>
        </w:rPr>
      </w:pPr>
      <w:r>
        <w:rPr>
          <w:rFonts w:hint="eastAsia" w:ascii="仿宋" w:hAnsi="仿宋" w:eastAsia="仿宋" w:cs="Arial"/>
          <w:sz w:val="24"/>
        </w:rPr>
        <w:t>研究类项目的管理费按不超过材料费、专用费、50%外协费、燃料动力费、事务费、固定资产折旧费、工资及劳务费七项之和的20%计列。</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8</w:t>
      </w:r>
      <w:r>
        <w:rPr>
          <w:rFonts w:ascii="仿宋" w:hAnsi="仿宋" w:eastAsia="仿宋"/>
          <w:sz w:val="24"/>
          <w:szCs w:val="24"/>
        </w:rPr>
        <w:t xml:space="preserve"> </w:t>
      </w:r>
      <w:r>
        <w:rPr>
          <w:rFonts w:hint="eastAsia" w:ascii="仿宋" w:hAnsi="仿宋" w:eastAsia="仿宋"/>
          <w:sz w:val="24"/>
          <w:szCs w:val="24"/>
        </w:rPr>
        <w:t>工资及劳务费</w:t>
      </w:r>
    </w:p>
    <w:p>
      <w:pPr>
        <w:spacing w:line="300" w:lineRule="auto"/>
        <w:ind w:firstLine="480" w:firstLineChars="200"/>
        <w:rPr>
          <w:rFonts w:ascii="仿宋" w:hAnsi="仿宋" w:eastAsia="仿宋" w:cs="Arial"/>
          <w:sz w:val="24"/>
        </w:rPr>
      </w:pPr>
      <w:r>
        <w:rPr>
          <w:rFonts w:hint="eastAsia" w:ascii="仿宋" w:hAnsi="仿宋" w:eastAsia="仿宋" w:cs="Arial"/>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Pr>
          <w:rFonts w:hint="eastAsia" w:ascii="仿宋" w:hAnsi="仿宋" w:eastAsia="仿宋" w:cs="Arial"/>
          <w:sz w:val="24"/>
          <w:u w:val="single"/>
        </w:rPr>
        <w:t>XX万元</w:t>
      </w:r>
      <w:r>
        <w:rPr>
          <w:rFonts w:hint="eastAsia" w:ascii="仿宋" w:hAnsi="仿宋" w:eastAsia="仿宋" w:cs="Arial"/>
          <w:sz w:val="24"/>
        </w:rPr>
        <w:t>，预计投入人员</w:t>
      </w:r>
      <w:r>
        <w:rPr>
          <w:rFonts w:hint="eastAsia" w:ascii="仿宋" w:hAnsi="仿宋" w:eastAsia="仿宋" w:cs="Arial"/>
          <w:sz w:val="24"/>
          <w:u w:val="single"/>
        </w:rPr>
        <w:t>XX人</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表9 XX单位近三年工资及劳务费数据</w:t>
      </w:r>
    </w:p>
    <w:tbl>
      <w:tblPr>
        <w:tblStyle w:val="28"/>
        <w:tblW w:w="5000" w:type="pct"/>
        <w:tblInd w:w="0" w:type="dxa"/>
        <w:tblLayout w:type="autofit"/>
        <w:tblCellMar>
          <w:top w:w="0" w:type="dxa"/>
          <w:left w:w="108" w:type="dxa"/>
          <w:bottom w:w="0" w:type="dxa"/>
          <w:right w:w="108" w:type="dxa"/>
        </w:tblCellMar>
      </w:tblPr>
      <w:tblGrid>
        <w:gridCol w:w="2678"/>
        <w:gridCol w:w="2251"/>
        <w:gridCol w:w="1700"/>
        <w:gridCol w:w="1899"/>
      </w:tblGrid>
      <w:tr>
        <w:tblPrEx>
          <w:tblCellMar>
            <w:top w:w="0" w:type="dxa"/>
            <w:left w:w="108" w:type="dxa"/>
            <w:bottom w:w="0" w:type="dxa"/>
            <w:right w:w="108" w:type="dxa"/>
          </w:tblCellMar>
        </w:tblPrEx>
        <w:trPr>
          <w:trHeight w:val="270" w:hRule="atLeast"/>
          <w:tblHeader/>
        </w:trPr>
        <w:tc>
          <w:tcPr>
            <w:tcW w:w="1570"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年度</w:t>
            </w:r>
          </w:p>
        </w:tc>
        <w:tc>
          <w:tcPr>
            <w:tcW w:w="1320"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N-2年</w:t>
            </w:r>
          </w:p>
        </w:tc>
        <w:tc>
          <w:tcPr>
            <w:tcW w:w="997"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N-1年</w:t>
            </w:r>
          </w:p>
        </w:tc>
        <w:tc>
          <w:tcPr>
            <w:tcW w:w="111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N年</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薪酬总额（万元）</w:t>
            </w:r>
          </w:p>
        </w:tc>
        <w:tc>
          <w:tcPr>
            <w:tcW w:w="13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事业费拨款（万元）</w:t>
            </w:r>
          </w:p>
        </w:tc>
        <w:tc>
          <w:tcPr>
            <w:tcW w:w="13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营业总收入（万元）</w:t>
            </w:r>
          </w:p>
        </w:tc>
        <w:tc>
          <w:tcPr>
            <w:tcW w:w="13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平均在岗职工人数</w:t>
            </w:r>
          </w:p>
        </w:tc>
        <w:tc>
          <w:tcPr>
            <w:tcW w:w="1320"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rPr>
          <w:rFonts w:ascii="仿宋" w:hAnsi="仿宋" w:eastAsia="仿宋"/>
        </w:rPr>
      </w:pPr>
      <w:r>
        <w:rPr>
          <w:rFonts w:hint="eastAsia" w:ascii="仿宋" w:hAnsi="仿宋" w:eastAsia="仿宋"/>
        </w:rPr>
        <w:t>注：N为报价当年</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3.9</w:t>
      </w:r>
      <w:r>
        <w:rPr>
          <w:rFonts w:ascii="仿宋" w:hAnsi="仿宋" w:eastAsia="仿宋"/>
          <w:sz w:val="24"/>
          <w:szCs w:val="24"/>
        </w:rPr>
        <w:t xml:space="preserve"> </w:t>
      </w:r>
      <w:r>
        <w:rPr>
          <w:rFonts w:hint="eastAsia" w:ascii="仿宋" w:hAnsi="仿宋" w:eastAsia="仿宋"/>
          <w:sz w:val="24"/>
          <w:szCs w:val="24"/>
        </w:rPr>
        <w:t>预计收益</w:t>
      </w:r>
    </w:p>
    <w:p>
      <w:pPr>
        <w:spacing w:line="300" w:lineRule="auto"/>
        <w:ind w:firstLine="480" w:firstLineChars="200"/>
        <w:rPr>
          <w:rFonts w:ascii="仿宋" w:hAnsi="仿宋" w:eastAsia="仿宋" w:cs="Arial"/>
          <w:sz w:val="24"/>
        </w:rPr>
      </w:pPr>
      <w:r>
        <w:rPr>
          <w:rFonts w:hint="eastAsia" w:ascii="仿宋" w:hAnsi="仿宋" w:eastAsia="仿宋" w:cs="Arial"/>
          <w:sz w:val="24"/>
        </w:rPr>
        <w:t>项目预计收益是指项目承担单位完成科研项目预计获得的利润。预计收益按项目预计成本扣除材料费中的外购成品费，专用费及外协费后的5%计列。</w:t>
      </w:r>
    </w:p>
    <w:p>
      <w:pPr>
        <w:spacing w:line="300" w:lineRule="auto"/>
        <w:ind w:firstLine="480" w:firstLineChars="200"/>
        <w:rPr>
          <w:rFonts w:ascii="仿宋" w:hAnsi="仿宋" w:eastAsia="仿宋" w:cs="Arial"/>
          <w:sz w:val="24"/>
        </w:rPr>
      </w:pPr>
      <w:r>
        <w:rPr>
          <w:rFonts w:hint="eastAsia" w:ascii="仿宋" w:hAnsi="仿宋" w:eastAsia="仿宋" w:cs="Arial"/>
          <w:sz w:val="24"/>
        </w:rPr>
        <w:t>本项目收益</w:t>
      </w:r>
      <w:bookmarkEnd w:id="15"/>
      <w:bookmarkEnd w:id="16"/>
      <w:r>
        <w:rPr>
          <w:rFonts w:hint="eastAsia" w:ascii="仿宋" w:hAnsi="仿宋" w:eastAsia="仿宋" w:cs="Arial"/>
          <w:sz w:val="24"/>
        </w:rPr>
        <w:t>为</w:t>
      </w:r>
      <w:r>
        <w:rPr>
          <w:rFonts w:hint="eastAsia" w:ascii="仿宋" w:hAnsi="仿宋" w:eastAsia="仿宋" w:cs="Arial"/>
          <w:sz w:val="24"/>
          <w:u w:val="single"/>
        </w:rPr>
        <w:t>XX万元</w:t>
      </w:r>
      <w:r>
        <w:rPr>
          <w:rFonts w:hint="eastAsia" w:ascii="仿宋" w:hAnsi="仿宋" w:eastAsia="仿宋" w:cs="Arial"/>
          <w:sz w:val="24"/>
        </w:rPr>
        <w:t>，计提比例为</w:t>
      </w:r>
      <w:r>
        <w:rPr>
          <w:rFonts w:hint="eastAsia" w:ascii="仿宋" w:hAnsi="仿宋" w:eastAsia="仿宋" w:cs="Arial"/>
          <w:sz w:val="24"/>
          <w:u w:val="single"/>
        </w:rPr>
        <w:t>XX</w:t>
      </w:r>
      <w:r>
        <w:rPr>
          <w:rFonts w:hint="eastAsia" w:ascii="仿宋" w:hAnsi="仿宋" w:eastAsia="仿宋" w:cs="Arial"/>
          <w:sz w:val="24"/>
        </w:rPr>
        <w:t>。</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4.机械加工类报价补充材料</w:t>
      </w:r>
    </w:p>
    <w:p>
      <w:pPr>
        <w:spacing w:line="300" w:lineRule="auto"/>
        <w:ind w:firstLine="480" w:firstLineChars="200"/>
        <w:rPr>
          <w:rFonts w:ascii="仿宋" w:hAnsi="仿宋" w:eastAsia="仿宋" w:cs="Arial"/>
          <w:sz w:val="30"/>
          <w:szCs w:val="30"/>
        </w:rPr>
      </w:pPr>
      <w:r>
        <w:rPr>
          <w:rFonts w:hint="eastAsia" w:ascii="仿宋" w:hAnsi="仿宋" w:eastAsia="仿宋" w:cs="Arial"/>
          <w:sz w:val="24"/>
        </w:rPr>
        <w:t>若项目属于机械加工类，还需提供以下补充材料，详见表10。</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表10 机械加工类报价补充材料</w:t>
      </w:r>
    </w:p>
    <w:tbl>
      <w:tblPr>
        <w:tblStyle w:val="28"/>
        <w:tblW w:w="5000" w:type="pct"/>
        <w:tblInd w:w="0" w:type="dxa"/>
        <w:tblLayout w:type="autofit"/>
        <w:tblCellMar>
          <w:top w:w="0" w:type="dxa"/>
          <w:left w:w="108" w:type="dxa"/>
          <w:bottom w:w="0" w:type="dxa"/>
          <w:right w:w="108" w:type="dxa"/>
        </w:tblCellMar>
      </w:tblPr>
      <w:tblGrid>
        <w:gridCol w:w="597"/>
        <w:gridCol w:w="597"/>
        <w:gridCol w:w="597"/>
        <w:gridCol w:w="759"/>
        <w:gridCol w:w="1121"/>
        <w:gridCol w:w="1359"/>
        <w:gridCol w:w="774"/>
        <w:gridCol w:w="653"/>
        <w:gridCol w:w="653"/>
        <w:gridCol w:w="658"/>
        <w:gridCol w:w="760"/>
      </w:tblGrid>
      <w:tr>
        <w:tblPrEx>
          <w:tblCellMar>
            <w:top w:w="0" w:type="dxa"/>
            <w:left w:w="108" w:type="dxa"/>
            <w:bottom w:w="0" w:type="dxa"/>
            <w:right w:w="108" w:type="dxa"/>
          </w:tblCellMar>
        </w:tblPrEx>
        <w:trPr>
          <w:trHeight w:val="270" w:hRule="atLeast"/>
        </w:trPr>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图号</w:t>
            </w:r>
            <w:r>
              <w:rPr>
                <w:b/>
                <w:bCs/>
                <w:color w:val="000000"/>
                <w:kern w:val="0"/>
                <w:sz w:val="18"/>
                <w:szCs w:val="18"/>
              </w:rPr>
              <w:t xml:space="preserve"> </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060" w:type="pct"/>
            <w:gridSpan w:val="6"/>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单价组成（元）</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总价（元）</w:t>
            </w:r>
          </w:p>
        </w:tc>
      </w:tr>
      <w:tr>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08" w:type="pct"/>
            <w:gridSpan w:val="3"/>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原材料费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加工费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工装费</w:t>
            </w:r>
          </w:p>
        </w:tc>
        <w:tc>
          <w:tcPr>
            <w:tcW w:w="386" w:type="pct"/>
            <w:vMerge w:val="restart"/>
            <w:tcBorders>
              <w:top w:val="nil"/>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其他费用</w:t>
            </w: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657" w:type="pct"/>
            <w:tcBorders>
              <w:top w:val="single" w:color="auto" w:sz="4" w:space="0"/>
              <w:left w:val="nil"/>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重量</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（kg）</w:t>
            </w:r>
          </w:p>
        </w:tc>
        <w:tc>
          <w:tcPr>
            <w:tcW w:w="797" w:type="pct"/>
            <w:tcBorders>
              <w:top w:val="single" w:color="auto" w:sz="4" w:space="0"/>
              <w:left w:val="nil"/>
              <w:bottom w:val="single" w:color="auto" w:sz="4" w:space="0"/>
              <w:right w:val="single" w:color="auto" w:sz="4" w:space="0"/>
            </w:tcBorders>
            <w:shd w:val="clear" w:color="auto" w:fill="D9D9D9"/>
            <w:noWrap/>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单价</w:t>
            </w:r>
          </w:p>
          <w:p>
            <w:pPr>
              <w:widowControl/>
              <w:jc w:val="center"/>
              <w:rPr>
                <w:b/>
                <w:bCs/>
                <w:color w:val="000000"/>
                <w:kern w:val="0"/>
                <w:sz w:val="18"/>
                <w:szCs w:val="18"/>
              </w:rPr>
            </w:pPr>
            <w:r>
              <w:rPr>
                <w:rFonts w:hint="eastAsia" w:ascii="宋体" w:hAnsi="宋体"/>
                <w:b/>
                <w:bCs/>
                <w:color w:val="000000"/>
                <w:kern w:val="0"/>
                <w:sz w:val="18"/>
                <w:szCs w:val="18"/>
              </w:rPr>
              <w:t>（元</w:t>
            </w:r>
            <w:r>
              <w:rPr>
                <w:b/>
                <w:bCs/>
                <w:color w:val="000000"/>
                <w:kern w:val="0"/>
                <w:sz w:val="18"/>
                <w:szCs w:val="18"/>
              </w:rPr>
              <w:t>/kg</w:t>
            </w:r>
            <w:r>
              <w:rPr>
                <w:rFonts w:hint="eastAsia" w:ascii="宋体" w:hAnsi="宋体"/>
                <w:b/>
                <w:bCs/>
                <w:color w:val="000000"/>
                <w:kern w:val="0"/>
                <w:sz w:val="18"/>
                <w:szCs w:val="18"/>
              </w:rPr>
              <w:t>）</w:t>
            </w:r>
          </w:p>
        </w:tc>
        <w:tc>
          <w:tcPr>
            <w:tcW w:w="454" w:type="pct"/>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小计（元）</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270"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65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5.税率</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5.1税负</w:t>
      </w:r>
    </w:p>
    <w:p>
      <w:pPr>
        <w:spacing w:line="300" w:lineRule="auto"/>
        <w:ind w:firstLine="480" w:firstLineChars="200"/>
        <w:rPr>
          <w:rFonts w:ascii="仿宋" w:hAnsi="仿宋" w:eastAsia="仿宋" w:cs="Arial"/>
          <w:sz w:val="24"/>
        </w:rPr>
      </w:pPr>
      <w:r>
        <w:rPr>
          <w:rFonts w:hint="eastAsia" w:ascii="仿宋" w:hAnsi="仿宋" w:eastAsia="仿宋" w:cs="Arial"/>
          <w:sz w:val="24"/>
        </w:rPr>
        <w:t>报价各成本项均为含税采购价，报价中的税负率根据不同行业有所不同，一般在3%至6%之间波动，本项目税负率为</w:t>
      </w:r>
      <w:r>
        <w:rPr>
          <w:rFonts w:hint="eastAsia" w:ascii="仿宋" w:hAnsi="仿宋" w:eastAsia="仿宋" w:cs="Arial"/>
          <w:sz w:val="24"/>
          <w:u w:val="single"/>
        </w:rPr>
        <w:t>XX</w:t>
      </w:r>
      <w:r>
        <w:rPr>
          <w:rFonts w:hint="eastAsia" w:ascii="仿宋" w:hAnsi="仿宋" w:eastAsia="仿宋" w:cs="Arial"/>
          <w:sz w:val="24"/>
        </w:rPr>
        <w:t>。</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5.2增值税</w:t>
      </w:r>
    </w:p>
    <w:p>
      <w:pPr>
        <w:spacing w:line="300" w:lineRule="auto"/>
        <w:ind w:firstLine="480" w:firstLineChars="200"/>
        <w:rPr>
          <w:rFonts w:ascii="仿宋" w:hAnsi="仿宋" w:eastAsia="仿宋" w:cs="Arial"/>
          <w:sz w:val="24"/>
        </w:rPr>
      </w:pPr>
      <w:r>
        <w:rPr>
          <w:rFonts w:hint="eastAsia" w:ascii="仿宋" w:hAnsi="仿宋" w:eastAsia="仿宋" w:cs="Arial"/>
          <w:sz w:val="24"/>
        </w:rPr>
        <w:t>购业务中涉及的增值税税率主要有以下情况：</w:t>
      </w:r>
    </w:p>
    <w:p>
      <w:pPr>
        <w:spacing w:line="300" w:lineRule="auto"/>
        <w:ind w:firstLine="480" w:firstLineChars="200"/>
        <w:rPr>
          <w:rFonts w:ascii="仿宋" w:hAnsi="仿宋" w:eastAsia="仿宋" w:cs="Arial"/>
          <w:sz w:val="24"/>
        </w:rPr>
      </w:pPr>
      <w:r>
        <w:rPr>
          <w:rFonts w:hint="eastAsia" w:ascii="仿宋" w:hAnsi="仿宋" w:eastAsia="仿宋" w:cs="Arial"/>
          <w:sz w:val="24"/>
        </w:rPr>
        <w:t>（一）对方为增值税一般纳税人</w:t>
      </w:r>
    </w:p>
    <w:p>
      <w:pPr>
        <w:spacing w:line="300" w:lineRule="auto"/>
        <w:ind w:firstLine="480" w:firstLineChars="200"/>
        <w:rPr>
          <w:rFonts w:ascii="仿宋" w:hAnsi="仿宋" w:eastAsia="仿宋" w:cs="Arial"/>
          <w:sz w:val="24"/>
        </w:rPr>
      </w:pPr>
      <w:r>
        <w:rPr>
          <w:rFonts w:hint="eastAsia" w:ascii="仿宋" w:hAnsi="仿宋" w:eastAsia="仿宋" w:cs="Arial"/>
          <w:sz w:val="24"/>
        </w:rPr>
        <w:t>1.采购一般货物，适用基本税率13%。</w:t>
      </w:r>
    </w:p>
    <w:p>
      <w:pPr>
        <w:spacing w:line="300" w:lineRule="auto"/>
        <w:ind w:firstLine="480" w:firstLineChars="200"/>
        <w:rPr>
          <w:rFonts w:ascii="仿宋" w:hAnsi="仿宋" w:eastAsia="仿宋" w:cs="Arial"/>
          <w:sz w:val="24"/>
        </w:rPr>
      </w:pPr>
      <w:r>
        <w:rPr>
          <w:rFonts w:hint="eastAsia" w:ascii="仿宋" w:hAnsi="仿宋" w:eastAsia="仿宋" w:cs="Arial"/>
          <w:sz w:val="24"/>
        </w:rPr>
        <w:t>2.对方提供加工或修理修配劳务，适用基本税率13%。</w:t>
      </w:r>
    </w:p>
    <w:p>
      <w:pPr>
        <w:spacing w:line="300" w:lineRule="auto"/>
        <w:ind w:firstLine="480" w:firstLineChars="200"/>
        <w:rPr>
          <w:rFonts w:ascii="仿宋" w:hAnsi="仿宋" w:eastAsia="仿宋" w:cs="Arial"/>
          <w:sz w:val="24"/>
        </w:rPr>
      </w:pPr>
      <w:r>
        <w:rPr>
          <w:rFonts w:hint="eastAsia" w:ascii="仿宋" w:hAnsi="仿宋" w:eastAsia="仿宋" w:cs="Arial"/>
          <w:sz w:val="24"/>
        </w:rPr>
        <w:t>3.进口一般货物，适用基本税率13%。</w:t>
      </w:r>
    </w:p>
    <w:p>
      <w:pPr>
        <w:spacing w:line="300" w:lineRule="auto"/>
        <w:ind w:firstLine="480" w:firstLineChars="200"/>
        <w:rPr>
          <w:rFonts w:ascii="仿宋" w:hAnsi="仿宋" w:eastAsia="仿宋" w:cs="Arial"/>
          <w:sz w:val="24"/>
        </w:rPr>
      </w:pPr>
      <w:r>
        <w:rPr>
          <w:rFonts w:hint="eastAsia" w:ascii="仿宋" w:hAnsi="仿宋" w:eastAsia="仿宋" w:cs="Arial"/>
          <w:sz w:val="24"/>
        </w:rPr>
        <w:t>4.对方向我所提供研发和技术服务等现代服务，适用税率6%。</w:t>
      </w:r>
    </w:p>
    <w:p>
      <w:pPr>
        <w:spacing w:line="300" w:lineRule="auto"/>
        <w:ind w:firstLine="480" w:firstLineChars="200"/>
        <w:rPr>
          <w:rFonts w:ascii="仿宋" w:hAnsi="仿宋" w:eastAsia="仿宋" w:cs="Arial"/>
          <w:sz w:val="24"/>
        </w:rPr>
      </w:pPr>
      <w:r>
        <w:rPr>
          <w:rFonts w:hint="eastAsia" w:ascii="仿宋" w:hAnsi="仿宋" w:eastAsia="仿宋" w:cs="Arial"/>
          <w:sz w:val="24"/>
        </w:rPr>
        <w:t>5.非企业性单位（比如高校）提供研发和技术服务可选择简易计税办法适用3%征收率。</w:t>
      </w:r>
    </w:p>
    <w:p>
      <w:pPr>
        <w:spacing w:line="300" w:lineRule="auto"/>
        <w:ind w:firstLine="480" w:firstLineChars="200"/>
        <w:rPr>
          <w:rFonts w:ascii="仿宋" w:hAnsi="仿宋" w:eastAsia="仿宋" w:cs="Arial"/>
          <w:sz w:val="24"/>
        </w:rPr>
      </w:pPr>
      <w:r>
        <w:rPr>
          <w:rFonts w:hint="eastAsia" w:ascii="仿宋" w:hAnsi="仿宋" w:eastAsia="仿宋" w:cs="Arial"/>
          <w:sz w:val="24"/>
        </w:rPr>
        <w:t>（二）对方为增值税小规模纳税人</w:t>
      </w:r>
    </w:p>
    <w:p>
      <w:pPr>
        <w:spacing w:line="300" w:lineRule="auto"/>
        <w:ind w:firstLine="480" w:firstLineChars="200"/>
        <w:rPr>
          <w:rFonts w:ascii="仿宋" w:hAnsi="仿宋" w:eastAsia="仿宋" w:cs="Arial"/>
          <w:sz w:val="24"/>
        </w:rPr>
      </w:pPr>
      <w:r>
        <w:rPr>
          <w:rFonts w:hint="eastAsia" w:ascii="仿宋" w:hAnsi="仿宋" w:eastAsia="仿宋" w:cs="Arial"/>
          <w:sz w:val="24"/>
        </w:rPr>
        <w:t>从小规模纳税人采购，适用征收率3%。</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6.其他说明</w:t>
      </w:r>
    </w:p>
    <w:p>
      <w:pPr>
        <w:spacing w:line="300" w:lineRule="auto"/>
        <w:ind w:firstLine="480" w:firstLineChars="200"/>
        <w:rPr>
          <w:rFonts w:ascii="仿宋" w:hAnsi="仿宋" w:eastAsia="仿宋" w:cs="Arial"/>
          <w:sz w:val="24"/>
        </w:rPr>
      </w:pPr>
      <w:r>
        <w:rPr>
          <w:rFonts w:hint="eastAsia" w:ascii="仿宋" w:hAnsi="仿宋" w:eastAsia="仿宋" w:cs="Arial"/>
          <w:sz w:val="24"/>
        </w:rPr>
        <w:t>若有其它支撑材料及说明，请在此处描述，若无则忽略本章节。</w:t>
      </w:r>
    </w:p>
    <w:p/>
    <w:p/>
    <w:p>
      <w:pPr>
        <w:spacing w:line="400" w:lineRule="exact"/>
        <w:rPr>
          <w:spacing w:val="10"/>
          <w:sz w:val="24"/>
        </w:rPr>
      </w:pPr>
    </w:p>
    <w:p>
      <w:pPr>
        <w:widowControl/>
        <w:jc w:val="left"/>
        <w:rPr>
          <w:spacing w:val="10"/>
          <w:sz w:val="24"/>
        </w:rPr>
      </w:pPr>
      <w:r>
        <w:rPr>
          <w:spacing w:val="10"/>
          <w:sz w:val="24"/>
        </w:rPr>
        <w:br w:type="page"/>
      </w:r>
    </w:p>
    <w:p>
      <w:pPr>
        <w:pStyle w:val="3"/>
      </w:pPr>
      <w:r>
        <w:rPr>
          <w:rFonts w:hint="eastAsia"/>
        </w:rPr>
        <w:t>附件6：</w:t>
      </w:r>
    </w:p>
    <w:p>
      <w:pPr>
        <w:spacing w:line="400" w:lineRule="exact"/>
        <w:ind w:firstLine="602" w:firstLineChars="200"/>
        <w:jc w:val="center"/>
        <w:rPr>
          <w:b/>
          <w:spacing w:val="10"/>
          <w:sz w:val="28"/>
          <w:szCs w:val="28"/>
        </w:rPr>
      </w:pPr>
      <w:r>
        <w:rPr>
          <w:rFonts w:hint="eastAsia"/>
          <w:b/>
          <w:spacing w:val="10"/>
          <w:sz w:val="28"/>
          <w:szCs w:val="28"/>
        </w:rPr>
        <w:t>项目简要说明一览表(适用于提供给招标方软件系统、硬件设备等固定资产类，如无上述内容可不填报)</w:t>
      </w:r>
    </w:p>
    <w:p>
      <w:pPr>
        <w:spacing w:line="400" w:lineRule="exact"/>
        <w:rPr>
          <w:spacing w:val="10"/>
          <w:sz w:val="24"/>
        </w:rPr>
      </w:pPr>
    </w:p>
    <w:p>
      <w:pPr>
        <w:spacing w:line="400" w:lineRule="exact"/>
        <w:rPr>
          <w:spacing w:val="10"/>
          <w:sz w:val="24"/>
          <w:u w:val="single"/>
        </w:rPr>
      </w:pPr>
      <w:r>
        <w:rPr>
          <w:rFonts w:hint="eastAsia"/>
          <w:spacing w:val="10"/>
          <w:sz w:val="24"/>
        </w:rPr>
        <w:t xml:space="preserve">询比价项目参与人名称：                    </w:t>
      </w:r>
      <w:r>
        <w:rPr>
          <w:rFonts w:hint="eastAsia" w:ascii="宋体" w:hAnsi="宋体"/>
          <w:sz w:val="24"/>
        </w:rPr>
        <w:t>询比价编号：</w:t>
      </w:r>
    </w:p>
    <w:p>
      <w:pPr>
        <w:spacing w:line="400" w:lineRule="exact"/>
        <w:rPr>
          <w:spacing w:val="10"/>
          <w:sz w:val="24"/>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33"/>
        <w:gridCol w:w="3022"/>
        <w:gridCol w:w="955"/>
        <w:gridCol w:w="159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spacing w:line="400" w:lineRule="exact"/>
              <w:jc w:val="center"/>
              <w:rPr>
                <w:spacing w:val="10"/>
                <w:sz w:val="24"/>
              </w:rPr>
            </w:pPr>
            <w:r>
              <w:rPr>
                <w:rFonts w:hint="eastAsia"/>
                <w:spacing w:val="10"/>
                <w:sz w:val="24"/>
              </w:rPr>
              <w:t>序号</w:t>
            </w:r>
          </w:p>
        </w:tc>
        <w:tc>
          <w:tcPr>
            <w:tcW w:w="840" w:type="pct"/>
            <w:vAlign w:val="center"/>
          </w:tcPr>
          <w:p>
            <w:pPr>
              <w:spacing w:line="400" w:lineRule="exact"/>
              <w:jc w:val="center"/>
              <w:rPr>
                <w:spacing w:val="10"/>
                <w:sz w:val="24"/>
              </w:rPr>
            </w:pPr>
            <w:r>
              <w:rPr>
                <w:rFonts w:hint="eastAsia"/>
                <w:spacing w:val="10"/>
                <w:sz w:val="24"/>
              </w:rPr>
              <w:t>项目名称</w:t>
            </w:r>
          </w:p>
        </w:tc>
        <w:tc>
          <w:tcPr>
            <w:tcW w:w="1772" w:type="pct"/>
            <w:vAlign w:val="center"/>
          </w:tcPr>
          <w:p>
            <w:pPr>
              <w:spacing w:line="400" w:lineRule="exact"/>
              <w:jc w:val="center"/>
              <w:rPr>
                <w:spacing w:val="10"/>
                <w:sz w:val="24"/>
              </w:rPr>
            </w:pPr>
            <w:r>
              <w:rPr>
                <w:rFonts w:hint="eastAsia"/>
                <w:spacing w:val="10"/>
                <w:sz w:val="24"/>
              </w:rPr>
              <w:t>型号规格及主要技术参数</w:t>
            </w:r>
          </w:p>
        </w:tc>
        <w:tc>
          <w:tcPr>
            <w:tcW w:w="560" w:type="pct"/>
            <w:vAlign w:val="center"/>
          </w:tcPr>
          <w:p>
            <w:pPr>
              <w:spacing w:line="400" w:lineRule="exact"/>
              <w:jc w:val="center"/>
              <w:rPr>
                <w:spacing w:val="10"/>
                <w:sz w:val="24"/>
              </w:rPr>
            </w:pPr>
            <w:r>
              <w:rPr>
                <w:rFonts w:hint="eastAsia"/>
                <w:spacing w:val="10"/>
                <w:sz w:val="24"/>
              </w:rPr>
              <w:t>数量</w:t>
            </w:r>
          </w:p>
        </w:tc>
        <w:tc>
          <w:tcPr>
            <w:tcW w:w="933" w:type="pct"/>
            <w:vAlign w:val="center"/>
          </w:tcPr>
          <w:p>
            <w:pPr>
              <w:spacing w:line="400" w:lineRule="exact"/>
              <w:jc w:val="center"/>
              <w:rPr>
                <w:spacing w:val="10"/>
                <w:sz w:val="24"/>
              </w:rPr>
            </w:pPr>
            <w:r>
              <w:rPr>
                <w:rFonts w:hint="eastAsia"/>
                <w:spacing w:val="10"/>
                <w:sz w:val="24"/>
              </w:rPr>
              <w:t>性能说明</w:t>
            </w:r>
          </w:p>
        </w:tc>
        <w:tc>
          <w:tcPr>
            <w:tcW w:w="466" w:type="pct"/>
            <w:vAlign w:val="center"/>
          </w:tcPr>
          <w:p>
            <w:pPr>
              <w:spacing w:line="400" w:lineRule="exact"/>
              <w:jc w:val="center"/>
              <w:rPr>
                <w:spacing w:val="10"/>
                <w:sz w:val="24"/>
              </w:rPr>
            </w:pPr>
            <w:r>
              <w:rPr>
                <w:rFonts w:hint="eastAsia"/>
                <w:spacing w:val="1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bl>
    <w:p>
      <w:pPr>
        <w:spacing w:line="400" w:lineRule="exact"/>
        <w:rPr>
          <w:spacing w:val="10"/>
          <w:sz w:val="24"/>
        </w:rPr>
      </w:pP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附件7：</w:t>
      </w:r>
    </w:p>
    <w:p>
      <w:pPr>
        <w:spacing w:line="400" w:lineRule="exact"/>
        <w:ind w:firstLine="602" w:firstLineChars="200"/>
        <w:jc w:val="center"/>
        <w:rPr>
          <w:b/>
          <w:spacing w:val="10"/>
          <w:sz w:val="28"/>
          <w:szCs w:val="28"/>
        </w:rPr>
      </w:pPr>
      <w:r>
        <w:rPr>
          <w:rFonts w:hint="eastAsia"/>
          <w:b/>
          <w:spacing w:val="10"/>
          <w:sz w:val="28"/>
          <w:szCs w:val="28"/>
        </w:rPr>
        <w:t>商务条款偏离表</w:t>
      </w:r>
    </w:p>
    <w:p>
      <w:pPr>
        <w:spacing w:line="360" w:lineRule="atLeast"/>
        <w:rPr>
          <w:sz w:val="24"/>
        </w:rPr>
      </w:pPr>
    </w:p>
    <w:p>
      <w:pPr>
        <w:spacing w:line="400" w:lineRule="exact"/>
        <w:rPr>
          <w:spacing w:val="10"/>
          <w:sz w:val="24"/>
          <w:u w:val="single"/>
        </w:rPr>
      </w:pPr>
      <w:r>
        <w:rPr>
          <w:rFonts w:hint="eastAsia"/>
          <w:spacing w:val="10"/>
          <w:sz w:val="24"/>
        </w:rPr>
        <w:t>询比价项目参与人名称：</w:t>
      </w:r>
      <w:r>
        <w:rPr>
          <w:rFonts w:hint="eastAsia" w:ascii="宋体" w:hAnsi="宋体"/>
          <w:sz w:val="24"/>
        </w:rPr>
        <w:t>询比价编号：</w:t>
      </w:r>
    </w:p>
    <w:p>
      <w:pPr>
        <w:spacing w:line="400" w:lineRule="exact"/>
        <w:rPr>
          <w:spacing w:val="10"/>
          <w:sz w:val="24"/>
          <w:u w:val="single"/>
        </w:rPr>
      </w:pP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64"/>
        <w:gridCol w:w="3576"/>
        <w:gridCol w:w="2474"/>
        <w:gridCol w:w="1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trPr>
        <w:tc>
          <w:tcPr>
            <w:tcW w:w="277" w:type="pct"/>
            <w:vAlign w:val="center"/>
          </w:tcPr>
          <w:p>
            <w:pPr>
              <w:spacing w:before="120" w:line="360" w:lineRule="atLeast"/>
              <w:jc w:val="center"/>
              <w:rPr>
                <w:sz w:val="24"/>
              </w:rPr>
            </w:pPr>
            <w:r>
              <w:rPr>
                <w:rFonts w:hint="eastAsia"/>
                <w:sz w:val="24"/>
              </w:rPr>
              <w:t>序号</w:t>
            </w:r>
          </w:p>
        </w:tc>
        <w:tc>
          <w:tcPr>
            <w:tcW w:w="2137" w:type="pct"/>
            <w:vAlign w:val="center"/>
          </w:tcPr>
          <w:p>
            <w:pPr>
              <w:spacing w:before="120" w:line="360" w:lineRule="atLeast"/>
              <w:jc w:val="center"/>
              <w:rPr>
                <w:sz w:val="24"/>
              </w:rPr>
            </w:pPr>
            <w:r>
              <w:rPr>
                <w:rFonts w:hint="eastAsia"/>
                <w:sz w:val="24"/>
              </w:rPr>
              <w:t>询比价文件商务条款</w:t>
            </w:r>
          </w:p>
        </w:tc>
        <w:tc>
          <w:tcPr>
            <w:tcW w:w="1478" w:type="pct"/>
            <w:vAlign w:val="center"/>
          </w:tcPr>
          <w:p>
            <w:pPr>
              <w:spacing w:before="120" w:line="360" w:lineRule="atLeast"/>
              <w:jc w:val="center"/>
              <w:rPr>
                <w:sz w:val="24"/>
              </w:rPr>
            </w:pPr>
            <w:r>
              <w:rPr>
                <w:rFonts w:hint="eastAsia"/>
                <w:sz w:val="24"/>
              </w:rPr>
              <w:t>询比价商务条款</w:t>
            </w:r>
          </w:p>
        </w:tc>
        <w:tc>
          <w:tcPr>
            <w:tcW w:w="1108" w:type="pct"/>
            <w:tcBorders>
              <w:right w:val="single" w:color="auto" w:sz="4" w:space="0"/>
            </w:tcBorders>
            <w:vAlign w:val="center"/>
          </w:tcPr>
          <w:p>
            <w:pPr>
              <w:spacing w:before="120" w:line="360" w:lineRule="atLeast"/>
              <w:jc w:val="center"/>
              <w:rPr>
                <w:sz w:val="24"/>
              </w:rPr>
            </w:pPr>
            <w:r>
              <w:rPr>
                <w:rFonts w:hint="eastAsia"/>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11" w:hRule="atLeast"/>
        </w:trPr>
        <w:tc>
          <w:tcPr>
            <w:tcW w:w="277" w:type="pct"/>
            <w:vAlign w:val="center"/>
          </w:tcPr>
          <w:p>
            <w:pPr>
              <w:spacing w:line="360" w:lineRule="atLeast"/>
              <w:jc w:val="center"/>
              <w:rPr>
                <w:sz w:val="24"/>
              </w:rPr>
            </w:pPr>
            <w:r>
              <w:rPr>
                <w:sz w:val="24"/>
              </w:rPr>
              <w:t>1</w:t>
            </w:r>
          </w:p>
        </w:tc>
        <w:tc>
          <w:tcPr>
            <w:tcW w:w="2137" w:type="pct"/>
            <w:vAlign w:val="center"/>
          </w:tcPr>
          <w:p>
            <w:pPr>
              <w:tabs>
                <w:tab w:val="left" w:pos="1080"/>
              </w:tabs>
              <w:spacing w:line="360" w:lineRule="auto"/>
              <w:rPr>
                <w:rFonts w:ascii="Arial" w:hAnsi="宋体" w:cs="Arial"/>
                <w:sz w:val="22"/>
              </w:rPr>
            </w:pPr>
          </w:p>
        </w:tc>
        <w:tc>
          <w:tcPr>
            <w:tcW w:w="1478" w:type="pct"/>
            <w:vAlign w:val="center"/>
          </w:tcPr>
          <w:p>
            <w:pPr>
              <w:tabs>
                <w:tab w:val="left" w:pos="851"/>
              </w:tabs>
              <w:spacing w:line="360" w:lineRule="atLeast"/>
              <w:jc w:val="center"/>
              <w:outlineLvl w:val="2"/>
              <w:rPr>
                <w:sz w:val="24"/>
              </w:rPr>
            </w:pPr>
          </w:p>
        </w:tc>
        <w:tc>
          <w:tcPr>
            <w:tcW w:w="1108" w:type="pct"/>
            <w:tcBorders>
              <w:right w:val="single" w:color="auto" w:sz="4" w:space="0"/>
            </w:tcBorders>
            <w:vAlign w:val="center"/>
          </w:tcPr>
          <w:p>
            <w:pPr>
              <w:tabs>
                <w:tab w:val="left" w:pos="851"/>
              </w:tabs>
              <w:spacing w:line="360" w:lineRule="atLeast"/>
              <w:jc w:val="center"/>
              <w:outlineLvl w:val="2"/>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28" w:hRule="atLeast"/>
        </w:trPr>
        <w:tc>
          <w:tcPr>
            <w:tcW w:w="277" w:type="pct"/>
            <w:vAlign w:val="center"/>
          </w:tcPr>
          <w:p>
            <w:pPr>
              <w:spacing w:line="360" w:lineRule="atLeast"/>
              <w:jc w:val="center"/>
              <w:rPr>
                <w:sz w:val="24"/>
              </w:rPr>
            </w:pPr>
            <w:r>
              <w:rPr>
                <w:sz w:val="24"/>
              </w:rPr>
              <w:t>2</w:t>
            </w:r>
          </w:p>
        </w:tc>
        <w:tc>
          <w:tcPr>
            <w:tcW w:w="2137" w:type="pct"/>
            <w:vAlign w:val="center"/>
          </w:tcPr>
          <w:p>
            <w:pPr>
              <w:tabs>
                <w:tab w:val="left" w:pos="1080"/>
                <w:tab w:val="left" w:pos="8280"/>
              </w:tabs>
              <w:suppressAutoHyphens/>
              <w:spacing w:line="360" w:lineRule="auto"/>
              <w:rPr>
                <w:rFonts w:ascii="Arial" w:hAnsi="宋体" w:cs="Arial"/>
                <w:sz w:val="22"/>
              </w:rPr>
            </w:pPr>
          </w:p>
        </w:tc>
        <w:tc>
          <w:tcPr>
            <w:tcW w:w="1478" w:type="pct"/>
            <w:vAlign w:val="center"/>
          </w:tcPr>
          <w:p>
            <w:pPr>
              <w:tabs>
                <w:tab w:val="left" w:pos="851"/>
              </w:tabs>
              <w:spacing w:line="360" w:lineRule="atLeast"/>
              <w:jc w:val="center"/>
              <w:outlineLvl w:val="2"/>
              <w:rPr>
                <w:sz w:val="24"/>
              </w:rPr>
            </w:pPr>
          </w:p>
        </w:tc>
        <w:tc>
          <w:tcPr>
            <w:tcW w:w="1108" w:type="pct"/>
            <w:tcBorders>
              <w:right w:val="single" w:color="auto" w:sz="4" w:space="0"/>
            </w:tcBorders>
            <w:vAlign w:val="center"/>
          </w:tcPr>
          <w:p>
            <w:pPr>
              <w:tabs>
                <w:tab w:val="left" w:pos="851"/>
              </w:tabs>
              <w:spacing w:line="360" w:lineRule="atLeast"/>
              <w:jc w:val="center"/>
              <w:outlineLvl w:val="2"/>
              <w:rPr>
                <w:sz w:val="24"/>
              </w:rPr>
            </w:pPr>
          </w:p>
        </w:tc>
      </w:tr>
    </w:tbl>
    <w:p>
      <w:pPr>
        <w:spacing w:line="360" w:lineRule="atLeast"/>
        <w:rPr>
          <w:sz w:val="24"/>
        </w:rPr>
      </w:pPr>
      <w:r>
        <w:rPr>
          <w:rFonts w:hint="eastAsia"/>
          <w:sz w:val="24"/>
        </w:rPr>
        <w:t>　</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25" w:type="first"/>
          <w:footerReference r:id="rId28" w:type="first"/>
          <w:headerReference r:id="rId23" w:type="default"/>
          <w:footerReference r:id="rId26" w:type="default"/>
          <w:headerReference r:id="rId24" w:type="even"/>
          <w:footerReference r:id="rId27"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 xml:space="preserve">附件8                </w:t>
      </w:r>
    </w:p>
    <w:p>
      <w:pPr>
        <w:spacing w:line="400" w:lineRule="exact"/>
        <w:ind w:firstLine="602" w:firstLineChars="200"/>
        <w:jc w:val="center"/>
        <w:rPr>
          <w:b/>
          <w:spacing w:val="10"/>
          <w:sz w:val="28"/>
          <w:szCs w:val="28"/>
        </w:rPr>
      </w:pPr>
      <w:r>
        <w:rPr>
          <w:rFonts w:hint="eastAsia"/>
          <w:b/>
          <w:spacing w:val="10"/>
          <w:sz w:val="28"/>
          <w:szCs w:val="28"/>
        </w:rPr>
        <w:t>技术规格响应/偏离表</w:t>
      </w:r>
    </w:p>
    <w:p>
      <w:pPr>
        <w:spacing w:line="360" w:lineRule="auto"/>
        <w:rPr>
          <w:sz w:val="24"/>
          <w:u w:val="single"/>
        </w:rPr>
      </w:pPr>
      <w:r>
        <w:rPr>
          <w:rFonts w:hint="eastAsia"/>
          <w:sz w:val="24"/>
        </w:rPr>
        <w:t>询比价项目参与人名称：</w:t>
      </w:r>
      <w:r>
        <w:rPr>
          <w:sz w:val="24"/>
        </w:rPr>
        <w:tab/>
      </w:r>
      <w:r>
        <w:rPr>
          <w:sz w:val="24"/>
        </w:rPr>
        <w:tab/>
      </w:r>
      <w:r>
        <w:rPr>
          <w:rFonts w:hint="eastAsia"/>
          <w:sz w:val="24"/>
        </w:rPr>
        <w:t>询比价编号：</w:t>
      </w:r>
    </w:p>
    <w:p>
      <w:pPr>
        <w:spacing w:line="360" w:lineRule="auto"/>
        <w:rPr>
          <w:sz w:val="24"/>
        </w:rPr>
      </w:pPr>
    </w:p>
    <w:tbl>
      <w:tblPr>
        <w:tblStyle w:val="28"/>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12"/>
        <w:gridCol w:w="833"/>
        <w:gridCol w:w="3531"/>
        <w:gridCol w:w="2835"/>
        <w:gridCol w:w="141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vAlign w:val="center"/>
          </w:tcPr>
          <w:p>
            <w:pPr>
              <w:spacing w:line="280" w:lineRule="exact"/>
              <w:rPr>
                <w:szCs w:val="21"/>
              </w:rPr>
            </w:pPr>
          </w:p>
        </w:tc>
        <w:tc>
          <w:tcPr>
            <w:tcW w:w="833" w:type="dxa"/>
            <w:vAlign w:val="center"/>
          </w:tcPr>
          <w:p>
            <w:pPr>
              <w:spacing w:line="280" w:lineRule="exact"/>
              <w:jc w:val="center"/>
              <w:rPr>
                <w:szCs w:val="21"/>
              </w:rPr>
            </w:pPr>
            <w:r>
              <w:rPr>
                <w:rFonts w:hint="eastAsia"/>
                <w:szCs w:val="21"/>
              </w:rPr>
              <w:t>序号</w:t>
            </w:r>
          </w:p>
        </w:tc>
        <w:tc>
          <w:tcPr>
            <w:tcW w:w="3531" w:type="dxa"/>
            <w:vAlign w:val="center"/>
          </w:tcPr>
          <w:p>
            <w:pPr>
              <w:spacing w:line="280" w:lineRule="exact"/>
              <w:jc w:val="center"/>
              <w:rPr>
                <w:szCs w:val="21"/>
              </w:rPr>
            </w:pPr>
            <w:r>
              <w:rPr>
                <w:rFonts w:hint="eastAsia"/>
                <w:szCs w:val="21"/>
              </w:rPr>
              <w:t>询比价文件要求</w:t>
            </w:r>
          </w:p>
        </w:tc>
        <w:tc>
          <w:tcPr>
            <w:tcW w:w="2835" w:type="dxa"/>
            <w:vAlign w:val="center"/>
          </w:tcPr>
          <w:p>
            <w:pPr>
              <w:spacing w:line="280" w:lineRule="exact"/>
              <w:jc w:val="center"/>
              <w:rPr>
                <w:szCs w:val="21"/>
              </w:rPr>
            </w:pPr>
            <w:r>
              <w:rPr>
                <w:rFonts w:hint="eastAsia"/>
                <w:szCs w:val="21"/>
              </w:rPr>
              <w:t>技术规格</w:t>
            </w:r>
          </w:p>
        </w:tc>
        <w:tc>
          <w:tcPr>
            <w:tcW w:w="1415" w:type="dxa"/>
            <w:vAlign w:val="center"/>
          </w:tcPr>
          <w:p>
            <w:pPr>
              <w:spacing w:line="280" w:lineRule="exact"/>
              <w:jc w:val="center"/>
              <w:rPr>
                <w:szCs w:val="21"/>
              </w:rPr>
            </w:pPr>
            <w:r>
              <w:rPr>
                <w:rFonts w:hint="eastAsia"/>
                <w:szCs w:val="21"/>
              </w:rPr>
              <w:t>响应/偏离</w:t>
            </w:r>
          </w:p>
        </w:tc>
        <w:tc>
          <w:tcPr>
            <w:tcW w:w="719" w:type="dxa"/>
            <w:vAlign w:val="center"/>
          </w:tcPr>
          <w:p>
            <w:pPr>
              <w:spacing w:line="280" w:lineRule="exact"/>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keepNext/>
              <w:spacing w:line="280" w:lineRule="exact"/>
              <w:outlineLvl w:val="0"/>
              <w:rPr>
                <w:szCs w:val="21"/>
              </w:rPr>
            </w:pPr>
          </w:p>
        </w:tc>
        <w:tc>
          <w:tcPr>
            <w:tcW w:w="833" w:type="dxa"/>
            <w:vAlign w:val="center"/>
          </w:tcPr>
          <w:p>
            <w:pPr>
              <w:keepNext/>
              <w:tabs>
                <w:tab w:val="left" w:pos="480"/>
              </w:tabs>
              <w:snapToGrid w:val="0"/>
              <w:spacing w:line="440" w:lineRule="exact"/>
              <w:ind w:left="425"/>
              <w:jc w:val="center"/>
              <w:outlineLvl w:val="0"/>
              <w:rPr>
                <w:rFonts w:ascii="宋体" w:hAnsi="宋体" w:cs="Arial"/>
                <w:b/>
                <w:bCs/>
                <w:szCs w:val="21"/>
              </w:rPr>
            </w:pPr>
          </w:p>
        </w:tc>
        <w:tc>
          <w:tcPr>
            <w:tcW w:w="3531" w:type="dxa"/>
          </w:tcPr>
          <w:p>
            <w:pPr>
              <w:keepNext/>
              <w:tabs>
                <w:tab w:val="left" w:pos="480"/>
              </w:tabs>
              <w:snapToGrid w:val="0"/>
              <w:spacing w:line="400" w:lineRule="exact"/>
              <w:ind w:left="425"/>
              <w:outlineLvl w:val="0"/>
              <w:rPr>
                <w:rFonts w:ascii="宋体" w:hAnsi="宋体" w:cs="Arial"/>
                <w:b/>
                <w:bCs/>
                <w:szCs w:val="21"/>
              </w:rPr>
            </w:pPr>
          </w:p>
        </w:tc>
        <w:tc>
          <w:tcPr>
            <w:tcW w:w="2835" w:type="dxa"/>
            <w:vAlign w:val="center"/>
          </w:tcPr>
          <w:p>
            <w:pPr>
              <w:keepNext/>
              <w:tabs>
                <w:tab w:val="left" w:pos="480"/>
              </w:tabs>
              <w:spacing w:line="280" w:lineRule="exact"/>
              <w:ind w:left="425"/>
              <w:jc w:val="center"/>
              <w:outlineLvl w:val="0"/>
              <w:rPr>
                <w:szCs w:val="21"/>
              </w:rPr>
            </w:pPr>
          </w:p>
        </w:tc>
        <w:tc>
          <w:tcPr>
            <w:tcW w:w="1415" w:type="dxa"/>
            <w:vAlign w:val="center"/>
          </w:tcPr>
          <w:p>
            <w:pPr>
              <w:keepNext/>
              <w:tabs>
                <w:tab w:val="left" w:pos="480"/>
              </w:tabs>
              <w:spacing w:line="280" w:lineRule="exact"/>
              <w:ind w:left="425"/>
              <w:jc w:val="center"/>
              <w:outlineLvl w:val="0"/>
              <w:rPr>
                <w:szCs w:val="21"/>
              </w:rPr>
            </w:pPr>
          </w:p>
        </w:tc>
        <w:tc>
          <w:tcPr>
            <w:tcW w:w="719" w:type="dxa"/>
            <w:vAlign w:val="center"/>
          </w:tcPr>
          <w:p>
            <w:pPr>
              <w:keepNext/>
              <w:tabs>
                <w:tab w:val="left" w:pos="480"/>
              </w:tabs>
              <w:spacing w:line="280" w:lineRule="exact"/>
              <w:ind w:left="425"/>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keepNext/>
              <w:spacing w:line="280" w:lineRule="exact"/>
              <w:outlineLvl w:val="0"/>
              <w:rPr>
                <w:szCs w:val="21"/>
              </w:rPr>
            </w:pPr>
          </w:p>
        </w:tc>
        <w:tc>
          <w:tcPr>
            <w:tcW w:w="833" w:type="dxa"/>
            <w:vAlign w:val="center"/>
          </w:tcPr>
          <w:p>
            <w:pPr>
              <w:keepNext/>
              <w:tabs>
                <w:tab w:val="left" w:pos="480"/>
              </w:tabs>
              <w:snapToGrid w:val="0"/>
              <w:spacing w:line="440" w:lineRule="exact"/>
              <w:ind w:left="425"/>
              <w:jc w:val="center"/>
              <w:outlineLvl w:val="0"/>
              <w:rPr>
                <w:rFonts w:ascii="宋体" w:hAnsi="宋体" w:cs="Arial"/>
                <w:b/>
                <w:bCs/>
                <w:szCs w:val="21"/>
              </w:rPr>
            </w:pPr>
          </w:p>
        </w:tc>
        <w:tc>
          <w:tcPr>
            <w:tcW w:w="3531" w:type="dxa"/>
          </w:tcPr>
          <w:p>
            <w:pPr>
              <w:keepNext/>
              <w:tabs>
                <w:tab w:val="left" w:pos="480"/>
              </w:tabs>
              <w:snapToGrid w:val="0"/>
              <w:spacing w:line="400" w:lineRule="exact"/>
              <w:ind w:left="425"/>
              <w:outlineLvl w:val="0"/>
              <w:rPr>
                <w:rFonts w:ascii="宋体" w:hAnsi="宋体" w:cs="Arial"/>
                <w:b/>
                <w:bCs/>
                <w:szCs w:val="21"/>
              </w:rPr>
            </w:pPr>
          </w:p>
        </w:tc>
        <w:tc>
          <w:tcPr>
            <w:tcW w:w="2835" w:type="dxa"/>
            <w:vAlign w:val="center"/>
          </w:tcPr>
          <w:p>
            <w:pPr>
              <w:keepNext/>
              <w:tabs>
                <w:tab w:val="left" w:pos="480"/>
              </w:tabs>
              <w:spacing w:line="280" w:lineRule="exact"/>
              <w:ind w:left="425"/>
              <w:jc w:val="center"/>
              <w:outlineLvl w:val="0"/>
              <w:rPr>
                <w:szCs w:val="21"/>
              </w:rPr>
            </w:pPr>
          </w:p>
        </w:tc>
        <w:tc>
          <w:tcPr>
            <w:tcW w:w="1415" w:type="dxa"/>
            <w:vAlign w:val="center"/>
          </w:tcPr>
          <w:p>
            <w:pPr>
              <w:keepNext/>
              <w:tabs>
                <w:tab w:val="left" w:pos="480"/>
              </w:tabs>
              <w:spacing w:line="280" w:lineRule="exact"/>
              <w:ind w:left="425"/>
              <w:jc w:val="center"/>
              <w:outlineLvl w:val="0"/>
              <w:rPr>
                <w:szCs w:val="21"/>
              </w:rPr>
            </w:pPr>
          </w:p>
        </w:tc>
        <w:tc>
          <w:tcPr>
            <w:tcW w:w="719" w:type="dxa"/>
            <w:vAlign w:val="center"/>
          </w:tcPr>
          <w:p>
            <w:pPr>
              <w:keepNext/>
              <w:tabs>
                <w:tab w:val="left" w:pos="480"/>
              </w:tabs>
              <w:spacing w:line="280" w:lineRule="exact"/>
              <w:ind w:left="425"/>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keepNext/>
              <w:spacing w:line="280" w:lineRule="exact"/>
              <w:outlineLvl w:val="0"/>
              <w:rPr>
                <w:szCs w:val="21"/>
              </w:rPr>
            </w:pPr>
          </w:p>
        </w:tc>
        <w:tc>
          <w:tcPr>
            <w:tcW w:w="833" w:type="dxa"/>
            <w:vAlign w:val="center"/>
          </w:tcPr>
          <w:p>
            <w:pPr>
              <w:keepNext/>
              <w:tabs>
                <w:tab w:val="left" w:pos="480"/>
              </w:tabs>
              <w:snapToGrid w:val="0"/>
              <w:spacing w:line="440" w:lineRule="exact"/>
              <w:ind w:left="425"/>
              <w:jc w:val="center"/>
              <w:outlineLvl w:val="0"/>
              <w:rPr>
                <w:rFonts w:ascii="宋体" w:hAnsi="宋体" w:cs="Arial"/>
                <w:b/>
                <w:bCs/>
                <w:szCs w:val="21"/>
              </w:rPr>
            </w:pPr>
          </w:p>
        </w:tc>
        <w:tc>
          <w:tcPr>
            <w:tcW w:w="3531" w:type="dxa"/>
          </w:tcPr>
          <w:p>
            <w:pPr>
              <w:keepNext/>
              <w:tabs>
                <w:tab w:val="left" w:pos="480"/>
              </w:tabs>
              <w:snapToGrid w:val="0"/>
              <w:spacing w:line="400" w:lineRule="exact"/>
              <w:ind w:left="425"/>
              <w:outlineLvl w:val="0"/>
              <w:rPr>
                <w:rFonts w:ascii="宋体" w:hAnsi="宋体" w:cs="Arial"/>
                <w:b/>
                <w:bCs/>
                <w:szCs w:val="21"/>
              </w:rPr>
            </w:pPr>
          </w:p>
        </w:tc>
        <w:tc>
          <w:tcPr>
            <w:tcW w:w="2835" w:type="dxa"/>
            <w:vAlign w:val="center"/>
          </w:tcPr>
          <w:p>
            <w:pPr>
              <w:keepNext/>
              <w:tabs>
                <w:tab w:val="left" w:pos="480"/>
              </w:tabs>
              <w:spacing w:line="280" w:lineRule="exact"/>
              <w:ind w:left="425"/>
              <w:jc w:val="center"/>
              <w:outlineLvl w:val="0"/>
              <w:rPr>
                <w:szCs w:val="21"/>
              </w:rPr>
            </w:pPr>
          </w:p>
        </w:tc>
        <w:tc>
          <w:tcPr>
            <w:tcW w:w="1415" w:type="dxa"/>
            <w:vAlign w:val="center"/>
          </w:tcPr>
          <w:p>
            <w:pPr>
              <w:keepNext/>
              <w:tabs>
                <w:tab w:val="left" w:pos="480"/>
              </w:tabs>
              <w:spacing w:line="280" w:lineRule="exact"/>
              <w:ind w:left="425"/>
              <w:jc w:val="center"/>
              <w:outlineLvl w:val="0"/>
              <w:rPr>
                <w:szCs w:val="21"/>
              </w:rPr>
            </w:pPr>
          </w:p>
        </w:tc>
        <w:tc>
          <w:tcPr>
            <w:tcW w:w="719" w:type="dxa"/>
            <w:vAlign w:val="center"/>
          </w:tcPr>
          <w:p>
            <w:pPr>
              <w:keepNext/>
              <w:tabs>
                <w:tab w:val="left" w:pos="480"/>
              </w:tabs>
              <w:spacing w:line="280" w:lineRule="exact"/>
              <w:ind w:left="425"/>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spacing w:line="280" w:lineRule="exact"/>
              <w:rPr>
                <w:szCs w:val="21"/>
              </w:rPr>
            </w:pPr>
            <w:r>
              <w:rPr>
                <w:rFonts w:ascii="宋体" w:hAnsi="宋体"/>
                <w:sz w:val="24"/>
              </w:rPr>
              <w:t>…</w:t>
            </w:r>
          </w:p>
        </w:tc>
        <w:tc>
          <w:tcPr>
            <w:tcW w:w="833" w:type="dxa"/>
            <w:vAlign w:val="center"/>
          </w:tcPr>
          <w:p>
            <w:pPr>
              <w:tabs>
                <w:tab w:val="left" w:pos="851"/>
              </w:tabs>
              <w:snapToGrid w:val="0"/>
              <w:spacing w:line="440" w:lineRule="exact"/>
              <w:jc w:val="center"/>
              <w:outlineLvl w:val="2"/>
              <w:rPr>
                <w:rFonts w:ascii="宋体" w:hAnsi="宋体" w:cs="Arial"/>
                <w:b/>
                <w:bCs/>
                <w:szCs w:val="21"/>
              </w:rPr>
            </w:pPr>
          </w:p>
        </w:tc>
        <w:tc>
          <w:tcPr>
            <w:tcW w:w="3531" w:type="dxa"/>
          </w:tcPr>
          <w:p>
            <w:pPr>
              <w:tabs>
                <w:tab w:val="left" w:pos="851"/>
              </w:tabs>
              <w:snapToGrid w:val="0"/>
              <w:spacing w:line="400" w:lineRule="exact"/>
              <w:outlineLvl w:val="2"/>
              <w:rPr>
                <w:rFonts w:ascii="宋体" w:hAnsi="宋体" w:cs="Arial"/>
                <w:b/>
                <w:bCs/>
                <w:szCs w:val="21"/>
              </w:rPr>
            </w:pPr>
          </w:p>
        </w:tc>
        <w:tc>
          <w:tcPr>
            <w:tcW w:w="2835" w:type="dxa"/>
            <w:vAlign w:val="center"/>
          </w:tcPr>
          <w:p>
            <w:pPr>
              <w:tabs>
                <w:tab w:val="left" w:pos="851"/>
              </w:tabs>
              <w:spacing w:line="280" w:lineRule="exact"/>
              <w:jc w:val="center"/>
              <w:outlineLvl w:val="2"/>
              <w:rPr>
                <w:szCs w:val="21"/>
              </w:rPr>
            </w:pPr>
          </w:p>
        </w:tc>
        <w:tc>
          <w:tcPr>
            <w:tcW w:w="1415" w:type="dxa"/>
            <w:vAlign w:val="center"/>
          </w:tcPr>
          <w:p>
            <w:pPr>
              <w:tabs>
                <w:tab w:val="left" w:pos="851"/>
              </w:tabs>
              <w:spacing w:line="280" w:lineRule="exact"/>
              <w:jc w:val="center"/>
              <w:outlineLvl w:val="2"/>
              <w:rPr>
                <w:szCs w:val="21"/>
              </w:rPr>
            </w:pPr>
          </w:p>
        </w:tc>
        <w:tc>
          <w:tcPr>
            <w:tcW w:w="719" w:type="dxa"/>
            <w:vAlign w:val="center"/>
          </w:tcPr>
          <w:p>
            <w:pPr>
              <w:tabs>
                <w:tab w:val="left" w:pos="851"/>
              </w:tabs>
              <w:spacing w:line="280" w:lineRule="exact"/>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spacing w:line="280" w:lineRule="exact"/>
              <w:rPr>
                <w:rFonts w:ascii="宋体" w:hAnsi="宋体"/>
                <w:sz w:val="24"/>
              </w:rPr>
            </w:pPr>
            <w:r>
              <w:rPr>
                <w:rFonts w:ascii="宋体" w:hAnsi="宋体"/>
                <w:sz w:val="24"/>
              </w:rPr>
              <w:t>…</w:t>
            </w:r>
          </w:p>
        </w:tc>
        <w:tc>
          <w:tcPr>
            <w:tcW w:w="833" w:type="dxa"/>
            <w:vAlign w:val="center"/>
          </w:tcPr>
          <w:p>
            <w:pPr>
              <w:tabs>
                <w:tab w:val="left" w:pos="851"/>
              </w:tabs>
              <w:snapToGrid w:val="0"/>
              <w:spacing w:line="440" w:lineRule="exact"/>
              <w:jc w:val="center"/>
              <w:outlineLvl w:val="2"/>
              <w:rPr>
                <w:rFonts w:ascii="宋体" w:hAnsi="宋体" w:cs="Arial"/>
                <w:b/>
                <w:bCs/>
                <w:szCs w:val="21"/>
              </w:rPr>
            </w:pPr>
          </w:p>
        </w:tc>
        <w:tc>
          <w:tcPr>
            <w:tcW w:w="3531" w:type="dxa"/>
          </w:tcPr>
          <w:p>
            <w:pPr>
              <w:tabs>
                <w:tab w:val="left" w:pos="851"/>
              </w:tabs>
              <w:snapToGrid w:val="0"/>
              <w:spacing w:line="400" w:lineRule="exact"/>
              <w:outlineLvl w:val="2"/>
              <w:rPr>
                <w:rFonts w:ascii="宋体" w:hAnsi="宋体" w:cs="Arial"/>
                <w:b/>
                <w:bCs/>
                <w:szCs w:val="21"/>
              </w:rPr>
            </w:pPr>
          </w:p>
        </w:tc>
        <w:tc>
          <w:tcPr>
            <w:tcW w:w="2835" w:type="dxa"/>
            <w:vAlign w:val="center"/>
          </w:tcPr>
          <w:p>
            <w:pPr>
              <w:tabs>
                <w:tab w:val="left" w:pos="851"/>
              </w:tabs>
              <w:spacing w:line="280" w:lineRule="exact"/>
              <w:jc w:val="center"/>
              <w:outlineLvl w:val="2"/>
              <w:rPr>
                <w:szCs w:val="21"/>
              </w:rPr>
            </w:pPr>
          </w:p>
        </w:tc>
        <w:tc>
          <w:tcPr>
            <w:tcW w:w="1415" w:type="dxa"/>
            <w:vAlign w:val="center"/>
          </w:tcPr>
          <w:p>
            <w:pPr>
              <w:tabs>
                <w:tab w:val="left" w:pos="851"/>
              </w:tabs>
              <w:spacing w:line="280" w:lineRule="exact"/>
              <w:jc w:val="center"/>
              <w:outlineLvl w:val="2"/>
              <w:rPr>
                <w:szCs w:val="21"/>
              </w:rPr>
            </w:pPr>
          </w:p>
        </w:tc>
        <w:tc>
          <w:tcPr>
            <w:tcW w:w="719" w:type="dxa"/>
            <w:vAlign w:val="center"/>
          </w:tcPr>
          <w:p>
            <w:pPr>
              <w:tabs>
                <w:tab w:val="left" w:pos="851"/>
              </w:tabs>
              <w:spacing w:line="280" w:lineRule="exact"/>
              <w:jc w:val="center"/>
              <w:outlineLvl w:val="2"/>
              <w:rPr>
                <w:szCs w:val="21"/>
              </w:rPr>
            </w:pPr>
          </w:p>
        </w:tc>
      </w:tr>
    </w:tbl>
    <w:p>
      <w:pPr>
        <w:spacing w:line="280" w:lineRule="exact"/>
        <w:rPr>
          <w:b/>
          <w:sz w:val="28"/>
        </w:rPr>
      </w:pPr>
    </w:p>
    <w:p>
      <w:pPr>
        <w:numPr>
          <w:ilvl w:val="0"/>
          <w:numId w:val="11"/>
        </w:numPr>
        <w:spacing w:line="360" w:lineRule="auto"/>
        <w:ind w:hanging="357"/>
      </w:pPr>
      <w:r>
        <w:rPr>
          <w:rFonts w:hint="eastAsia"/>
        </w:rPr>
        <w:t>注意：本表中“序号”、“询比价文件要求”栏填写的内容应与询比价文件技术要求中内容完全</w:t>
      </w:r>
      <w:r>
        <w:rPr>
          <w:rFonts w:hint="eastAsia"/>
          <w:em w:val="dot"/>
        </w:rPr>
        <w:t>一致</w:t>
      </w:r>
      <w:r>
        <w:rPr>
          <w:rFonts w:hint="eastAsia"/>
        </w:rPr>
        <w:t>。</w:t>
      </w:r>
    </w:p>
    <w:p>
      <w:pPr>
        <w:numPr>
          <w:ilvl w:val="0"/>
          <w:numId w:val="11"/>
        </w:numPr>
        <w:spacing w:line="360" w:lineRule="auto"/>
        <w:ind w:hanging="357"/>
      </w:pPr>
      <w:r>
        <w:rPr>
          <w:rFonts w:hint="eastAsia"/>
        </w:rPr>
        <w:t>询比价项目参与人依据产品说明书、详细技术方案、样本等在“技术规格”栏如实逐项逐条回应。</w:t>
      </w:r>
    </w:p>
    <w:p>
      <w:pPr>
        <w:numPr>
          <w:ilvl w:val="0"/>
          <w:numId w:val="11"/>
        </w:numPr>
        <w:spacing w:line="360" w:lineRule="auto"/>
        <w:ind w:hanging="357"/>
      </w:pPr>
      <w:r>
        <w:rPr>
          <w:rFonts w:hint="eastAsia"/>
        </w:rPr>
        <w:t>询比价项目参与人</w:t>
      </w:r>
      <w:r>
        <w:t>需在本附件内，</w:t>
      </w:r>
      <w:r>
        <w:rPr>
          <w:rFonts w:hint="eastAsia"/>
        </w:rPr>
        <w:t>对于那些可以用量化形式表示的条款，投标人必须明确回答，或以功能描述回答，并在“</w:t>
      </w:r>
      <w:r>
        <w:rPr>
          <w:rFonts w:hint="eastAsia"/>
          <w:szCs w:val="21"/>
        </w:rPr>
        <w:t>响应/偏离”栏内做出应答</w:t>
      </w:r>
      <w:r>
        <w:rPr>
          <w:rFonts w:hint="eastAsia"/>
        </w:rPr>
        <w:t>。</w:t>
      </w:r>
    </w:p>
    <w:p>
      <w:pPr>
        <w:numPr>
          <w:ilvl w:val="0"/>
          <w:numId w:val="11"/>
        </w:numPr>
        <w:spacing w:line="360" w:lineRule="auto"/>
        <w:ind w:hanging="357"/>
      </w:pPr>
      <w:r>
        <w:rPr>
          <w:rFonts w:hint="eastAsia"/>
        </w:rPr>
        <w:t>任何通过简单拷贝招标文件技术规格要求或简单标注“符合”、“满足”的投标将被拒绝。</w:t>
      </w:r>
      <w:r>
        <w:rPr>
          <w:rFonts w:hint="eastAsia" w:ascii="宋体" w:hAnsi="宋体" w:cs="Arial"/>
          <w:sz w:val="24"/>
        </w:rPr>
        <w:t>特别对有具体参数要求的指标，投标人必须提供所投设备的具体数值。</w:t>
      </w:r>
    </w:p>
    <w:p>
      <w:pPr>
        <w:numPr>
          <w:ilvl w:val="0"/>
          <w:numId w:val="11"/>
        </w:numPr>
        <w:spacing w:line="360" w:lineRule="auto"/>
        <w:ind w:hanging="357"/>
      </w:pPr>
      <w:r>
        <w:rPr>
          <w:rFonts w:hint="eastAsia"/>
        </w:rPr>
        <w:t>如果询比价小组在投标文件其它地方发现实质性偏离，不论投标人在本表中如何响应，均可认为是偏离招标文件的规定</w:t>
      </w:r>
      <w:r>
        <w:t>。</w:t>
      </w:r>
    </w:p>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31" w:type="first"/>
          <w:footerReference r:id="rId34" w:type="first"/>
          <w:headerReference r:id="rId29" w:type="default"/>
          <w:footerReference r:id="rId32" w:type="default"/>
          <w:headerReference r:id="rId30" w:type="even"/>
          <w:footerReference r:id="rId33"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附件9：</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密级：    公开</w:t>
      </w:r>
    </w:p>
    <w:p>
      <w:pPr>
        <w:rPr>
          <w:rFonts w:asciiTheme="minorEastAsia" w:hAnsiTheme="minorEastAsia" w:eastAsiaTheme="minorEastAsia" w:cstheme="minorEastAsia"/>
          <w:sz w:val="24"/>
          <w:szCs w:val="20"/>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center"/>
        <w:rPr>
          <w:rFonts w:ascii="黑体" w:hAnsi="黑体" w:eastAsia="黑体" w:cstheme="minorEastAsia"/>
          <w:spacing w:val="30"/>
          <w:sz w:val="52"/>
        </w:rPr>
      </w:pPr>
      <w:r>
        <w:rPr>
          <w:rFonts w:hint="eastAsia" w:ascii="黑体" w:hAnsi="黑体" w:eastAsia="黑体" w:cstheme="minorEastAsia"/>
          <w:spacing w:val="30"/>
          <w:sz w:val="52"/>
        </w:rPr>
        <w:t>中国航发航空科技股份有限公司</w:t>
      </w:r>
    </w:p>
    <w:p>
      <w:pPr>
        <w:jc w:val="center"/>
        <w:rPr>
          <w:rFonts w:ascii="黑体" w:hAnsi="黑体" w:eastAsia="黑体" w:cstheme="minorEastAsia"/>
          <w:spacing w:val="30"/>
          <w:sz w:val="52"/>
        </w:rPr>
      </w:pPr>
      <w:r>
        <w:rPr>
          <w:rFonts w:hint="eastAsia" w:ascii="黑体" w:hAnsi="黑体" w:eastAsia="黑体" w:cstheme="minorEastAsia"/>
          <w:spacing w:val="30"/>
          <w:sz w:val="52"/>
        </w:rPr>
        <w:t>项目技术研究方案申报书</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rPr>
      </w:pPr>
    </w:p>
    <w:p>
      <w:pPr>
        <w:snapToGrid w:val="0"/>
        <w:spacing w:line="480" w:lineRule="auto"/>
        <w:ind w:firstLine="1012" w:firstLineChars="315"/>
        <w:rPr>
          <w:rFonts w:eastAsia="楷体_GB2312"/>
          <w:b/>
          <w:sz w:val="32"/>
          <w:szCs w:val="32"/>
          <w:u w:val="single"/>
        </w:rPr>
      </w:pPr>
    </w:p>
    <w:p>
      <w:pPr>
        <w:snapToGrid w:val="0"/>
        <w:spacing w:line="360" w:lineRule="auto"/>
        <w:ind w:firstLine="800" w:firstLineChars="250"/>
        <w:rPr>
          <w:rFonts w:eastAsia="黑体"/>
          <w:sz w:val="32"/>
          <w:szCs w:val="32"/>
        </w:rPr>
      </w:pPr>
      <w:r>
        <w:rPr>
          <w:rFonts w:eastAsia="黑体"/>
          <w:sz w:val="32"/>
          <w:szCs w:val="32"/>
        </w:rPr>
        <w:t>项目名称：</w:t>
      </w:r>
      <w:r>
        <w:rPr>
          <w:rFonts w:hint="eastAsia" w:eastAsia="黑体"/>
          <w:sz w:val="32"/>
          <w:szCs w:val="32"/>
        </w:rPr>
        <w:t xml:space="preserve"> </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项目编号：</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起止时间：</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投标单位：</w:t>
      </w:r>
      <w:r>
        <w:rPr>
          <w:rFonts w:hint="eastAsia" w:eastAsia="黑体"/>
          <w:sz w:val="32"/>
          <w:szCs w:val="32"/>
          <w:u w:val="single"/>
        </w:rPr>
        <w:t xml:space="preserve">        （盖章）    </w:t>
      </w:r>
    </w:p>
    <w:p>
      <w:pPr>
        <w:snapToGrid w:val="0"/>
        <w:spacing w:line="360" w:lineRule="auto"/>
        <w:ind w:firstLine="800" w:firstLineChars="250"/>
        <w:rPr>
          <w:rFonts w:eastAsia="黑体"/>
          <w:sz w:val="32"/>
          <w:szCs w:val="32"/>
        </w:rPr>
      </w:pPr>
      <w:r>
        <w:rPr>
          <w:rFonts w:eastAsia="黑体"/>
          <w:sz w:val="32"/>
          <w:szCs w:val="32"/>
        </w:rPr>
        <w:t>项目负责人：</w:t>
      </w:r>
      <w:r>
        <w:rPr>
          <w:rFonts w:hint="eastAsia" w:eastAsia="黑体"/>
          <w:sz w:val="32"/>
          <w:szCs w:val="32"/>
          <w:u w:val="single"/>
        </w:rPr>
        <w:t xml:space="preserve">      （签字）    </w:t>
      </w:r>
    </w:p>
    <w:p>
      <w:pPr>
        <w:snapToGrid w:val="0"/>
        <w:spacing w:line="360" w:lineRule="auto"/>
        <w:ind w:firstLine="800" w:firstLineChars="250"/>
        <w:rPr>
          <w:rFonts w:eastAsia="黑体"/>
          <w:sz w:val="32"/>
          <w:szCs w:val="32"/>
        </w:rPr>
      </w:pPr>
      <w:r>
        <w:rPr>
          <w:rFonts w:eastAsia="黑体"/>
          <w:sz w:val="32"/>
          <w:szCs w:val="32"/>
        </w:rPr>
        <w:t>项目联系人：</w:t>
      </w:r>
      <w:r>
        <w:rPr>
          <w:rFonts w:hint="eastAsia" w:eastAsia="黑体"/>
          <w:sz w:val="32"/>
          <w:szCs w:val="32"/>
          <w:u w:val="single"/>
        </w:rPr>
        <w:t xml:space="preserve">                  </w:t>
      </w:r>
      <w:r>
        <w:rPr>
          <w:rFonts w:eastAsia="楷体_GB2312"/>
          <w:b/>
          <w:sz w:val="32"/>
          <w:szCs w:val="32"/>
          <w:u w:val="single" w:color="FFFFFF" w:themeColor="background1"/>
        </w:rPr>
        <w:t xml:space="preserve"> </w:t>
      </w:r>
    </w:p>
    <w:p>
      <w:pPr>
        <w:snapToGrid w:val="0"/>
        <w:spacing w:line="360" w:lineRule="auto"/>
        <w:ind w:firstLine="800" w:firstLineChars="250"/>
        <w:rPr>
          <w:rFonts w:eastAsia="黑体"/>
          <w:sz w:val="32"/>
          <w:szCs w:val="32"/>
        </w:rPr>
      </w:pPr>
      <w:r>
        <w:rPr>
          <w:rFonts w:eastAsia="黑体"/>
          <w:sz w:val="32"/>
          <w:szCs w:val="32"/>
        </w:rPr>
        <w:t>联系人电话：</w:t>
      </w:r>
      <w:r>
        <w:rPr>
          <w:rFonts w:eastAsia="楷体_GB2312"/>
          <w:b/>
          <w:sz w:val="32"/>
          <w:szCs w:val="32"/>
          <w:u w:val="single" w:color="FFFFFF" w:themeColor="background1"/>
        </w:rPr>
        <w:t xml:space="preserve"> </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填报日期：</w:t>
      </w:r>
      <w:r>
        <w:rPr>
          <w:rFonts w:eastAsia="黑体"/>
          <w:sz w:val="32"/>
          <w:szCs w:val="32"/>
          <w:u w:val="single"/>
        </w:rPr>
        <w:t xml:space="preserve"> </w:t>
      </w:r>
      <w:r>
        <w:rPr>
          <w:rFonts w:hint="eastAsia" w:asciiTheme="minorEastAsia" w:hAnsiTheme="minorEastAsia" w:eastAsiaTheme="minorEastAsia" w:cstheme="minorEastAsia"/>
          <w:b/>
          <w:sz w:val="32"/>
          <w:szCs w:val="32"/>
          <w:u w:val="single"/>
        </w:rPr>
        <w:t xml:space="preserve">  20XX </w:t>
      </w:r>
      <w:r>
        <w:rPr>
          <w:rFonts w:hint="eastAsia" w:asciiTheme="minorEastAsia" w:hAnsiTheme="minorEastAsia" w:eastAsiaTheme="minorEastAsia" w:cstheme="minorEastAsia"/>
          <w:sz w:val="32"/>
          <w:szCs w:val="32"/>
          <w:u w:val="single"/>
        </w:rPr>
        <w:t>年</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月</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日</w:t>
      </w:r>
    </w:p>
    <w:p>
      <w:pPr>
        <w:jc w:val="center"/>
      </w:pPr>
    </w:p>
    <w:p>
      <w:pPr>
        <w:jc w:val="center"/>
        <w:rPr>
          <w:rFonts w:eastAsia="楷体_GB2312"/>
          <w:b/>
          <w:sz w:val="36"/>
          <w:szCs w:val="36"/>
        </w:rPr>
      </w:pPr>
    </w:p>
    <w:p>
      <w:pPr>
        <w:rPr>
          <w:rFonts w:eastAsia="楷体_GB2312"/>
          <w:b/>
          <w:sz w:val="36"/>
          <w:szCs w:val="36"/>
        </w:rPr>
      </w:pPr>
    </w:p>
    <w:p>
      <w:pPr>
        <w:jc w:val="center"/>
        <w:rPr>
          <w:rFonts w:eastAsia="黑体"/>
          <w:sz w:val="36"/>
          <w:szCs w:val="36"/>
        </w:rPr>
        <w:sectPr>
          <w:pgSz w:w="11906" w:h="16838"/>
          <w:pgMar w:top="1418" w:right="1134" w:bottom="1134" w:left="1418" w:header="851" w:footer="992" w:gutter="0"/>
          <w:cols w:space="425" w:num="1"/>
          <w:docGrid w:type="lines" w:linePitch="312" w:charSpace="0"/>
        </w:sectPr>
      </w:pPr>
      <w:r>
        <w:rPr>
          <w:rFonts w:hint="eastAsia" w:eastAsia="黑体"/>
          <w:sz w:val="36"/>
          <w:szCs w:val="36"/>
        </w:rPr>
        <w:t>中国航发航空科技股份有限公司</w:t>
      </w:r>
      <w:r>
        <w:rPr>
          <w:rFonts w:eastAsia="黑体"/>
          <w:sz w:val="36"/>
          <w:szCs w:val="36"/>
        </w:rPr>
        <w:t>制</w:t>
      </w:r>
    </w:p>
    <w:p>
      <w:pPr>
        <w:jc w:val="center"/>
        <w:rPr>
          <w:rFonts w:eastAsia="黑体"/>
          <w:sz w:val="32"/>
          <w:szCs w:val="32"/>
        </w:rPr>
      </w:pPr>
      <w:r>
        <w:rPr>
          <w:rFonts w:eastAsia="黑体"/>
          <w:sz w:val="32"/>
          <w:szCs w:val="32"/>
        </w:rPr>
        <w:t>填  写  说  明</w:t>
      </w:r>
    </w:p>
    <w:p>
      <w:pPr>
        <w:snapToGrid w:val="0"/>
        <w:spacing w:line="360" w:lineRule="auto"/>
        <w:ind w:right="571"/>
        <w:rPr>
          <w:b/>
          <w:sz w:val="24"/>
        </w:rPr>
      </w:pPr>
    </w:p>
    <w:p>
      <w:pPr>
        <w:snapToGrid w:val="0"/>
        <w:spacing w:line="360" w:lineRule="auto"/>
        <w:rPr>
          <w:rFonts w:eastAsia="仿宋_GB2312"/>
          <w:b/>
          <w:sz w:val="30"/>
          <w:szCs w:val="30"/>
        </w:rPr>
      </w:pPr>
      <w:r>
        <w:rPr>
          <w:rFonts w:eastAsia="仿宋_GB2312"/>
          <w:b/>
          <w:sz w:val="30"/>
          <w:szCs w:val="30"/>
        </w:rPr>
        <w:t>一、填写要求</w:t>
      </w:r>
    </w:p>
    <w:p>
      <w:pPr>
        <w:snapToGrid w:val="0"/>
        <w:spacing w:line="360" w:lineRule="auto"/>
        <w:ind w:firstLine="480" w:firstLineChars="200"/>
        <w:rPr>
          <w:rFonts w:eastAsia="仿宋_GB2312"/>
          <w:sz w:val="24"/>
        </w:rPr>
      </w:pPr>
      <w:r>
        <w:rPr>
          <w:rFonts w:eastAsia="仿宋_GB2312"/>
          <w:sz w:val="24"/>
        </w:rPr>
        <w:t>任务书（规格A4）填写需一式2份，可以复印，但每份需加盖公章。各项内容必须如实填写，各项栏目不得空缺，无此内容时填“无”，数字一律取整数，承研单位名称填写标准简称和代号。</w:t>
      </w:r>
    </w:p>
    <w:p>
      <w:pPr>
        <w:snapToGrid w:val="0"/>
        <w:spacing w:line="360" w:lineRule="auto"/>
        <w:rPr>
          <w:rFonts w:eastAsia="仿宋_GB2312"/>
          <w:b/>
          <w:sz w:val="30"/>
          <w:szCs w:val="30"/>
        </w:rPr>
      </w:pPr>
      <w:r>
        <w:rPr>
          <w:rFonts w:eastAsia="仿宋_GB2312"/>
          <w:b/>
          <w:sz w:val="30"/>
          <w:szCs w:val="30"/>
        </w:rPr>
        <w:t>二、格式要求</w:t>
      </w:r>
    </w:p>
    <w:p>
      <w:pPr>
        <w:snapToGrid w:val="0"/>
        <w:spacing w:line="360" w:lineRule="auto"/>
        <w:ind w:firstLine="480" w:firstLineChars="200"/>
        <w:rPr>
          <w:rFonts w:eastAsia="仿宋_GB2312"/>
          <w:sz w:val="24"/>
        </w:rPr>
      </w:pPr>
      <w:r>
        <w:rPr>
          <w:rFonts w:eastAsia="仿宋_GB2312"/>
          <w:sz w:val="24"/>
        </w:rPr>
        <w:t>页边距：上2.5cm，下2cm；左2.5cm，右2cm，页脚1.2cm，封面、简表、目录不设页码，正文页码从第一页开始，置于页脚居中。</w:t>
      </w:r>
    </w:p>
    <w:p>
      <w:pPr>
        <w:snapToGrid w:val="0"/>
        <w:spacing w:line="360" w:lineRule="auto"/>
        <w:ind w:firstLine="480" w:firstLineChars="200"/>
        <w:rPr>
          <w:rFonts w:eastAsia="仿宋_GB2312"/>
          <w:sz w:val="24"/>
        </w:rPr>
      </w:pPr>
      <w:r>
        <w:rPr>
          <w:rFonts w:eastAsia="仿宋_GB2312"/>
          <w:sz w:val="24"/>
        </w:rPr>
        <w:t>标题一使用</w:t>
      </w:r>
      <w:r>
        <w:rPr>
          <w:rFonts w:eastAsia="黑体"/>
          <w:sz w:val="28"/>
          <w:szCs w:val="28"/>
        </w:rPr>
        <w:t>黑体，四号字</w:t>
      </w:r>
      <w:r>
        <w:rPr>
          <w:rFonts w:eastAsia="仿宋_GB2312"/>
          <w:sz w:val="24"/>
        </w:rPr>
        <w:t>，行间距1.25倍，段前、段后空一行。</w:t>
      </w:r>
    </w:p>
    <w:p>
      <w:pPr>
        <w:snapToGrid w:val="0"/>
        <w:spacing w:line="360" w:lineRule="auto"/>
        <w:ind w:firstLine="480" w:firstLineChars="200"/>
        <w:rPr>
          <w:rFonts w:eastAsia="仿宋_GB2312"/>
          <w:sz w:val="24"/>
        </w:rPr>
      </w:pPr>
      <w:r>
        <w:rPr>
          <w:rFonts w:eastAsia="仿宋_GB2312"/>
          <w:sz w:val="24"/>
        </w:rPr>
        <w:t>标题二使用</w:t>
      </w:r>
      <w:r>
        <w:rPr>
          <w:rFonts w:eastAsia="黑体"/>
          <w:sz w:val="24"/>
        </w:rPr>
        <w:t>黑体，小四号字</w:t>
      </w:r>
      <w:r>
        <w:rPr>
          <w:rFonts w:eastAsia="仿宋_GB2312"/>
          <w:sz w:val="24"/>
        </w:rPr>
        <w:t>，行间距1.25倍，段前、段后空0.5行。</w:t>
      </w:r>
    </w:p>
    <w:p>
      <w:pPr>
        <w:snapToGrid w:val="0"/>
        <w:spacing w:line="360" w:lineRule="auto"/>
        <w:ind w:firstLine="480" w:firstLineChars="200"/>
        <w:rPr>
          <w:rFonts w:eastAsia="仿宋_GB2312"/>
          <w:sz w:val="24"/>
        </w:rPr>
      </w:pPr>
      <w:r>
        <w:rPr>
          <w:rFonts w:eastAsia="仿宋_GB2312"/>
          <w:sz w:val="24"/>
        </w:rPr>
        <w:t>标题三及以后使用</w:t>
      </w:r>
      <w:r>
        <w:rPr>
          <w:rFonts w:eastAsia="仿宋_GB2312"/>
          <w:b/>
          <w:sz w:val="24"/>
        </w:rPr>
        <w:t>仿宋加粗，小四号字</w:t>
      </w:r>
      <w:r>
        <w:rPr>
          <w:rFonts w:eastAsia="仿宋_GB2312"/>
          <w:sz w:val="24"/>
        </w:rPr>
        <w:t>，行间距1.25倍，段前、段后空0.5行。</w:t>
      </w:r>
    </w:p>
    <w:p>
      <w:pPr>
        <w:snapToGrid w:val="0"/>
        <w:spacing w:line="360" w:lineRule="auto"/>
        <w:ind w:firstLine="480" w:firstLineChars="200"/>
        <w:rPr>
          <w:rFonts w:eastAsia="仿宋_GB2312"/>
          <w:sz w:val="24"/>
        </w:rPr>
      </w:pPr>
      <w:r>
        <w:rPr>
          <w:rFonts w:eastAsia="仿宋_GB2312"/>
          <w:sz w:val="24"/>
        </w:rPr>
        <w:t>正文：中文用宋体；数字、符号用Times New Roman，小四号字，行间距1.25倍，段前、段后不空。</w:t>
      </w: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snapToGrid w:val="0"/>
        <w:spacing w:line="360" w:lineRule="auto"/>
        <w:jc w:val="center"/>
        <w:rPr>
          <w:rFonts w:eastAsia="黑体"/>
          <w:sz w:val="28"/>
          <w:szCs w:val="28"/>
        </w:rPr>
      </w:pPr>
      <w:r>
        <w:rPr>
          <w:rFonts w:eastAsia="黑体"/>
          <w:sz w:val="28"/>
          <w:szCs w:val="28"/>
        </w:rPr>
        <w:t>目  录</w:t>
      </w: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项目概述</w:t>
      </w:r>
      <w:r>
        <w:rPr>
          <w:rFonts w:hint="eastAsia" w:ascii="宋体"/>
          <w:b/>
          <w:kern w:val="0"/>
          <w:sz w:val="28"/>
        </w:rPr>
        <w:tab/>
      </w:r>
    </w:p>
    <w:p>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项目（课题）原理</w:t>
      </w:r>
    </w:p>
    <w:p>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项目技术国内外研究现状</w:t>
      </w:r>
    </w:p>
    <w:p>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项目（课题）预期拟解决的重大关键核心技术或重大问题</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研究目标</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研究内容</w:t>
      </w:r>
      <w:r>
        <w:rPr>
          <w:rFonts w:hint="eastAsia" w:ascii="宋体"/>
          <w:b/>
          <w:kern w:val="0"/>
          <w:sz w:val="28"/>
        </w:rPr>
        <w:tab/>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研究方案及技术途径</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总体方案</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研究方法及技术途径</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关键技术及实施途径</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技术创新点</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技术指标及考核方式</w:t>
      </w:r>
      <w:r>
        <w:rPr>
          <w:rFonts w:hint="eastAsia" w:ascii="宋体"/>
          <w:b/>
          <w:kern w:val="0"/>
          <w:sz w:val="28"/>
        </w:rPr>
        <w:tab/>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技术指标量化可考核，能够体现项目技术特征。</w:t>
      </w:r>
      <w:r>
        <w:rPr>
          <w:rFonts w:asciiTheme="minorEastAsia" w:hAnsiTheme="minorEastAsia"/>
          <w:i/>
          <w:sz w:val="24"/>
        </w:rPr>
        <w:t>所有</w:t>
      </w:r>
      <w:r>
        <w:rPr>
          <w:rFonts w:hint="eastAsia" w:asciiTheme="minorEastAsia" w:hAnsiTheme="minorEastAsia"/>
          <w:i/>
          <w:sz w:val="24"/>
        </w:rPr>
        <w:t>技术指标均应说明指标名称、指标要求及考核方式。</w:t>
      </w:r>
    </w:p>
    <w:p>
      <w:pPr>
        <w:pStyle w:val="9"/>
        <w:adjustRightInd w:val="0"/>
        <w:snapToGrid w:val="0"/>
        <w:spacing w:line="300" w:lineRule="auto"/>
        <w:ind w:firstLine="0" w:firstLineChars="0"/>
        <w:rPr>
          <w:rFonts w:asciiTheme="minorEastAsia" w:hAnsiTheme="minorEastAsia"/>
          <w:i/>
          <w:sz w:val="24"/>
        </w:rPr>
      </w:pPr>
      <w:r>
        <w:rPr>
          <w:rFonts w:asciiTheme="minorEastAsia" w:hAnsiTheme="minorEastAsia"/>
          <w:i/>
          <w:sz w:val="24"/>
        </w:rPr>
        <w:t>1.×××××××××</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2</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pPr>
        <w:pStyle w:val="9"/>
        <w:adjustRightInd w:val="0"/>
        <w:snapToGrid w:val="0"/>
        <w:spacing w:line="300" w:lineRule="auto"/>
        <w:ind w:firstLineChars="0"/>
        <w:rPr>
          <w:rFonts w:ascii="仿宋" w:hAnsi="仿宋" w:eastAsia="仿宋"/>
          <w:sz w:val="24"/>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研究进度及成果</w:t>
      </w:r>
      <w:r>
        <w:rPr>
          <w:rFonts w:hint="eastAsia" w:ascii="宋体"/>
          <w:b/>
          <w:kern w:val="0"/>
          <w:sz w:val="28"/>
        </w:rPr>
        <w:tab/>
      </w:r>
    </w:p>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研究进度</w:t>
      </w:r>
      <w:r>
        <w:rPr>
          <w:rFonts w:hint="eastAsia" w:ascii="宋体"/>
          <w:b/>
          <w:kern w:val="0"/>
          <w:sz w:val="28"/>
        </w:rPr>
        <w:tab/>
      </w:r>
    </w:p>
    <w:p>
      <w:pPr>
        <w:spacing w:before="156" w:beforeLines="50" w:after="156" w:afterLines="50"/>
        <w:jc w:val="center"/>
        <w:outlineLvl w:val="0"/>
        <w:rPr>
          <w:rFonts w:eastAsia="黑体"/>
          <w:sz w:val="24"/>
        </w:rPr>
      </w:pPr>
      <w:bookmarkStart w:id="20" w:name="_Toc513033384"/>
      <w:bookmarkStart w:id="21" w:name="_Toc513128901"/>
      <w:bookmarkStart w:id="22" w:name="_Toc514238612"/>
      <w:bookmarkStart w:id="23" w:name="_Toc513130108"/>
      <w:bookmarkStart w:id="24" w:name="_Toc513455546"/>
      <w:bookmarkStart w:id="25" w:name="_Toc513454606"/>
      <w:r>
        <w:rPr>
          <w:b/>
          <w:sz w:val="24"/>
        </w:rPr>
        <w:t>表X.本项目</w:t>
      </w:r>
      <w:bookmarkEnd w:id="20"/>
      <w:r>
        <w:rPr>
          <w:b/>
          <w:sz w:val="24"/>
        </w:rPr>
        <w:t>研究进度</w:t>
      </w:r>
      <w:bookmarkEnd w:id="21"/>
      <w:bookmarkEnd w:id="22"/>
      <w:bookmarkEnd w:id="23"/>
      <w:bookmarkEnd w:id="24"/>
      <w:bookmarkEnd w:id="25"/>
    </w:p>
    <w:tbl>
      <w:tblPr>
        <w:tblStyle w:val="28"/>
        <w:tblW w:w="7897" w:type="dxa"/>
        <w:jc w:val="center"/>
        <w:tblLayout w:type="autofit"/>
        <w:tblCellMar>
          <w:top w:w="0" w:type="dxa"/>
          <w:left w:w="108" w:type="dxa"/>
          <w:bottom w:w="0" w:type="dxa"/>
          <w:right w:w="108" w:type="dxa"/>
        </w:tblCellMar>
      </w:tblPr>
      <w:tblGrid>
        <w:gridCol w:w="1086"/>
        <w:gridCol w:w="4282"/>
        <w:gridCol w:w="2529"/>
      </w:tblGrid>
      <w:tr>
        <w:tblPrEx>
          <w:tblCellMar>
            <w:top w:w="0" w:type="dxa"/>
            <w:left w:w="108" w:type="dxa"/>
            <w:bottom w:w="0" w:type="dxa"/>
            <w:right w:w="108" w:type="dxa"/>
          </w:tblCellMar>
        </w:tblPrEx>
        <w:trPr>
          <w:trHeight w:val="285" w:hRule="atLeast"/>
          <w:jc w:val="center"/>
        </w:trPr>
        <w:tc>
          <w:tcPr>
            <w:tcW w:w="10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napToGrid w:val="0"/>
              <w:ind w:left="1" w:leftChars="-35" w:right="-77" w:rightChars="-37" w:hanging="74" w:hangingChars="31"/>
              <w:jc w:val="center"/>
              <w:rPr>
                <w:b/>
                <w:kern w:val="0"/>
                <w:sz w:val="24"/>
              </w:rPr>
            </w:pPr>
            <w:r>
              <w:rPr>
                <w:b/>
                <w:kern w:val="0"/>
                <w:sz w:val="24"/>
              </w:rPr>
              <w:t>年度</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right="-132" w:rightChars="-63"/>
              <w:jc w:val="center"/>
              <w:rPr>
                <w:b/>
                <w:kern w:val="0"/>
                <w:sz w:val="24"/>
              </w:rPr>
            </w:pPr>
            <w:r>
              <w:rPr>
                <w:b/>
                <w:kern w:val="0"/>
                <w:sz w:val="24"/>
              </w:rPr>
              <w:t>主要研究内容</w:t>
            </w:r>
          </w:p>
        </w:tc>
        <w:tc>
          <w:tcPr>
            <w:tcW w:w="2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b/>
                <w:kern w:val="0"/>
                <w:sz w:val="24"/>
              </w:rPr>
            </w:pPr>
            <w:r>
              <w:rPr>
                <w:rFonts w:hint="eastAsia"/>
                <w:b/>
                <w:kern w:val="0"/>
                <w:sz w:val="24"/>
              </w:rPr>
              <w:t>完成形式</w:t>
            </w:r>
          </w:p>
        </w:tc>
      </w:tr>
      <w:tr>
        <w:tblPrEx>
          <w:tblCellMar>
            <w:top w:w="0" w:type="dxa"/>
            <w:left w:w="108" w:type="dxa"/>
            <w:bottom w:w="0" w:type="dxa"/>
            <w:right w:w="108" w:type="dxa"/>
          </w:tblCellMar>
        </w:tblPrEx>
        <w:trPr>
          <w:trHeight w:val="496" w:hRule="atLeast"/>
          <w:jc w:val="center"/>
        </w:trPr>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kern w:val="0"/>
                <w:sz w:val="24"/>
              </w:rPr>
              <w:t>20  年</w:t>
            </w:r>
          </w:p>
        </w:tc>
        <w:tc>
          <w:tcPr>
            <w:tcW w:w="4282" w:type="dxa"/>
            <w:tcBorders>
              <w:top w:val="nil"/>
              <w:left w:val="nil"/>
              <w:bottom w:val="single" w:color="auto" w:sz="4" w:space="0"/>
              <w:right w:val="single" w:color="auto" w:sz="4" w:space="0"/>
            </w:tcBorders>
            <w:shd w:val="clear" w:color="auto" w:fill="auto"/>
            <w:noWrap/>
            <w:vAlign w:val="center"/>
          </w:tcPr>
          <w:p>
            <w:pPr>
              <w:snapToGrid w:val="0"/>
              <w:jc w:val="left"/>
              <w:rPr>
                <w:i/>
                <w:kern w:val="0"/>
                <w:sz w:val="24"/>
              </w:rPr>
            </w:pPr>
            <w:r>
              <w:rPr>
                <w:rFonts w:hint="eastAsia"/>
                <w:i/>
                <w:kern w:val="0"/>
                <w:sz w:val="24"/>
              </w:rPr>
              <w:t>与1.2研究</w:t>
            </w:r>
            <w:r>
              <w:rPr>
                <w:i/>
                <w:kern w:val="0"/>
                <w:sz w:val="24"/>
              </w:rPr>
              <w:t>内容对应</w:t>
            </w:r>
          </w:p>
        </w:tc>
        <w:tc>
          <w:tcPr>
            <w:tcW w:w="2529" w:type="dxa"/>
            <w:tcBorders>
              <w:top w:val="nil"/>
              <w:left w:val="nil"/>
              <w:bottom w:val="single" w:color="auto" w:sz="4" w:space="0"/>
              <w:right w:val="single" w:color="auto" w:sz="4" w:space="0"/>
            </w:tcBorders>
            <w:shd w:val="clear" w:color="auto" w:fill="auto"/>
            <w:noWrap/>
            <w:vAlign w:val="center"/>
          </w:tcPr>
          <w:p>
            <w:pPr>
              <w:snapToGrid w:val="0"/>
              <w:rPr>
                <w:i/>
                <w:kern w:val="0"/>
                <w:sz w:val="24"/>
              </w:rPr>
            </w:pPr>
            <w:r>
              <w:rPr>
                <w:rFonts w:hint="eastAsia"/>
                <w:i/>
                <w:kern w:val="0"/>
                <w:sz w:val="24"/>
              </w:rPr>
              <w:t>成果</w:t>
            </w:r>
            <w:r>
              <w:rPr>
                <w:i/>
                <w:kern w:val="0"/>
                <w:sz w:val="24"/>
              </w:rPr>
              <w:t>形式</w:t>
            </w: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kern w:val="0"/>
                <w:sz w:val="24"/>
              </w:rPr>
              <w:t>20  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rFonts w:hint="eastAsia"/>
                <w:kern w:val="0"/>
                <w:sz w:val="24"/>
              </w:rPr>
              <w:t>20</w:t>
            </w:r>
            <w:r>
              <w:rPr>
                <w:kern w:val="0"/>
                <w:sz w:val="24"/>
              </w:rPr>
              <w:t xml:space="preserve">  </w:t>
            </w:r>
            <w:r>
              <w:rPr>
                <w:rFonts w:hint="eastAsia"/>
                <w:kern w:val="0"/>
                <w:sz w:val="24"/>
              </w:rPr>
              <w:t>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rFonts w:hint="eastAsia"/>
                <w:kern w:val="0"/>
                <w:sz w:val="24"/>
              </w:rPr>
              <w:t>20</w:t>
            </w:r>
            <w:r>
              <w:rPr>
                <w:kern w:val="0"/>
                <w:sz w:val="24"/>
              </w:rPr>
              <w:t xml:space="preserve">  </w:t>
            </w:r>
            <w:r>
              <w:rPr>
                <w:rFonts w:hint="eastAsia"/>
                <w:kern w:val="0"/>
                <w:sz w:val="24"/>
              </w:rPr>
              <w:t>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kern w:val="0"/>
                <w:sz w:val="24"/>
              </w:rPr>
              <w:t>XX年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bl>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研究成果</w:t>
      </w:r>
    </w:p>
    <w:tbl>
      <w:tblPr>
        <w:tblStyle w:val="2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3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仿宋"/>
                <w:b/>
                <w:sz w:val="28"/>
              </w:rPr>
            </w:pPr>
            <w:r>
              <w:rPr>
                <w:rFonts w:hint="eastAsia" w:ascii="仿宋_GB2312" w:hAnsi="仿宋"/>
                <w:b/>
                <w:sz w:val="28"/>
              </w:rPr>
              <w:t>序号</w:t>
            </w:r>
          </w:p>
        </w:tc>
        <w:tc>
          <w:tcPr>
            <w:tcW w:w="5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仿宋"/>
                <w:b/>
                <w:sz w:val="28"/>
              </w:rPr>
            </w:pPr>
            <w:r>
              <w:rPr>
                <w:rFonts w:hint="eastAsia" w:ascii="仿宋_GB2312" w:hAnsi="仿宋"/>
                <w:b/>
                <w:sz w:val="28"/>
              </w:rPr>
              <w:t>研究成果名称</w:t>
            </w:r>
          </w:p>
        </w:tc>
        <w:tc>
          <w:tcPr>
            <w:tcW w:w="18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仿宋"/>
                <w:b/>
                <w:sz w:val="28"/>
              </w:rPr>
            </w:pPr>
            <w:r>
              <w:rPr>
                <w:rFonts w:hint="eastAsia" w:ascii="仿宋_GB2312" w:hAnsi="仿宋"/>
                <w:b/>
                <w:sz w:val="28"/>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w:t>
            </w:r>
          </w:p>
        </w:tc>
        <w:tc>
          <w:tcPr>
            <w:tcW w:w="5838"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4</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5</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6</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7</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8</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9</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bl>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成果形式</w:t>
      </w:r>
      <w:r>
        <w:rPr>
          <w:rFonts w:hint="eastAsia" w:ascii="宋体"/>
          <w:b/>
          <w:kern w:val="0"/>
          <w:sz w:val="28"/>
        </w:rPr>
        <w:tab/>
      </w:r>
    </w:p>
    <w:p>
      <w:pPr>
        <w:snapToGrid w:val="0"/>
        <w:spacing w:line="300" w:lineRule="auto"/>
        <w:ind w:right="207" w:firstLine="480" w:firstLineChars="200"/>
        <w:rPr>
          <w:i/>
          <w:sz w:val="24"/>
        </w:rPr>
      </w:pPr>
      <w:r>
        <w:rPr>
          <w:i/>
          <w:sz w:val="24"/>
        </w:rPr>
        <w:t>（最终可考核的软硬件成果名称、形式、数量）</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本项目研究成果形式共划分为X类，包括文件、软件、实物、专利、论文、标准规范</w:t>
      </w:r>
      <w:r>
        <w:rPr>
          <w:rFonts w:asciiTheme="minorEastAsia" w:hAnsiTheme="minorEastAsia"/>
          <w:i/>
          <w:sz w:val="24"/>
        </w:rPr>
        <w:t>…</w:t>
      </w:r>
      <w:r>
        <w:rPr>
          <w:rFonts w:hint="eastAsia" w:asciiTheme="minorEastAsia" w:hAnsiTheme="minorEastAsia"/>
          <w:i/>
          <w:sz w:val="24"/>
        </w:rPr>
        <w:t>..等。其中，文件包括：方案报告X份，设计报告X份、试验报告X份、设计指南X份</w:t>
      </w:r>
      <w:r>
        <w:rPr>
          <w:rFonts w:asciiTheme="minorEastAsia" w:hAnsiTheme="minorEastAsia"/>
          <w:i/>
          <w:sz w:val="24"/>
        </w:rPr>
        <w:t>……</w:t>
      </w:r>
      <w:r>
        <w:rPr>
          <w:rFonts w:hint="eastAsia" w:asciiTheme="minorEastAsia" w:hAnsiTheme="minorEastAsia"/>
          <w:i/>
          <w:sz w:val="24"/>
        </w:rPr>
        <w:t>、共计X份；软件包括：数据库X套、仿真模型X套、软件代码X套</w:t>
      </w:r>
      <w:r>
        <w:rPr>
          <w:rFonts w:asciiTheme="minorEastAsia" w:hAnsiTheme="minorEastAsia"/>
          <w:i/>
          <w:sz w:val="24"/>
        </w:rPr>
        <w:t>……</w:t>
      </w:r>
      <w:r>
        <w:rPr>
          <w:rFonts w:hint="eastAsia" w:asciiTheme="minorEastAsia" w:hAnsiTheme="minorEastAsia"/>
          <w:i/>
          <w:sz w:val="24"/>
        </w:rPr>
        <w:t xml:space="preserve">，共计X套；实物包含：研究样机/样件X套、材料样品X个、工装X套，共计X套。以下仅对主要成果进行罗列： </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1.研究报告类</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w:t>
      </w:r>
      <w:r>
        <w:rPr>
          <w:rFonts w:asciiTheme="minorEastAsia" w:hAnsiTheme="minorEastAsia"/>
          <w:i/>
          <w:sz w:val="24"/>
        </w:rPr>
        <w:t>…</w:t>
      </w:r>
      <w:r>
        <w:rPr>
          <w:rFonts w:hint="eastAsia" w:asciiTheme="minorEastAsia" w:hAnsiTheme="minorEastAsia"/>
          <w:i/>
          <w:sz w:val="24"/>
        </w:rPr>
        <w:t>.</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2.软件类</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3.实物类</w:t>
      </w:r>
    </w:p>
    <w:p>
      <w:pPr>
        <w:pStyle w:val="9"/>
        <w:adjustRightInd w:val="0"/>
        <w:snapToGrid w:val="0"/>
        <w:spacing w:line="300" w:lineRule="auto"/>
        <w:ind w:firstLine="480"/>
        <w:rPr>
          <w:rFonts w:ascii="宋体"/>
          <w:b/>
          <w:kern w:val="0"/>
          <w:sz w:val="32"/>
        </w:rPr>
      </w:pPr>
      <w:r>
        <w:rPr>
          <w:rFonts w:hint="eastAsia" w:asciiTheme="minorEastAsia" w:hAnsiTheme="minorEastAsia"/>
          <w:sz w:val="24"/>
        </w:rPr>
        <w:t>…</w:t>
      </w:r>
    </w:p>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成果应用前景</w:t>
      </w:r>
      <w:r>
        <w:rPr>
          <w:rFonts w:hint="eastAsia" w:ascii="宋体"/>
          <w:b/>
          <w:kern w:val="0"/>
          <w:sz w:val="28"/>
        </w:rPr>
        <w:tab/>
      </w:r>
    </w:p>
    <w:p>
      <w:pPr>
        <w:pStyle w:val="9"/>
        <w:spacing w:line="300" w:lineRule="auto"/>
        <w:ind w:firstLine="480"/>
        <w:rPr>
          <w:rFonts w:asciiTheme="minorEastAsia" w:hAnsiTheme="minorEastAsia"/>
          <w:i/>
          <w:sz w:val="24"/>
          <w:szCs w:val="24"/>
        </w:rPr>
      </w:pPr>
      <w:r>
        <w:rPr>
          <w:i/>
          <w:sz w:val="24"/>
          <w:szCs w:val="24"/>
        </w:rPr>
        <w:t>说明成果转化途径及推广应用方案</w:t>
      </w:r>
    </w:p>
    <w:p>
      <w:pPr>
        <w:autoSpaceDE w:val="0"/>
        <w:autoSpaceDN w:val="0"/>
        <w:adjustRightInd w:val="0"/>
        <w:spacing w:line="400" w:lineRule="exact"/>
        <w:rPr>
          <w:rFonts w:ascii="宋体"/>
          <w:b/>
          <w:kern w:val="0"/>
          <w:sz w:val="32"/>
        </w:rPr>
      </w:pPr>
    </w:p>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预期效益</w:t>
      </w:r>
      <w:r>
        <w:rPr>
          <w:rFonts w:hint="eastAsia" w:ascii="宋体"/>
          <w:b/>
          <w:kern w:val="0"/>
          <w:sz w:val="28"/>
        </w:rPr>
        <w:tab/>
      </w:r>
    </w:p>
    <w:p>
      <w:pPr>
        <w:pStyle w:val="9"/>
        <w:spacing w:line="300" w:lineRule="auto"/>
        <w:ind w:firstLine="480"/>
        <w:rPr>
          <w:rFonts w:asciiTheme="minorEastAsia" w:hAnsiTheme="minorEastAsia"/>
          <w:i/>
          <w:sz w:val="24"/>
          <w:szCs w:val="24"/>
        </w:rPr>
      </w:pPr>
      <w:r>
        <w:rPr>
          <w:i/>
          <w:sz w:val="24"/>
          <w:szCs w:val="24"/>
        </w:rPr>
        <w:t>分析成果的经济效益、技术效益和社会效益</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研究条件及保障措施</w:t>
      </w:r>
      <w:r>
        <w:rPr>
          <w:rFonts w:hint="eastAsia" w:ascii="宋体"/>
          <w:b/>
          <w:kern w:val="0"/>
          <w:sz w:val="28"/>
        </w:rPr>
        <w:tab/>
      </w:r>
    </w:p>
    <w:p>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研究条件</w:t>
      </w:r>
      <w:r>
        <w:rPr>
          <w:rFonts w:hint="eastAsia" w:ascii="宋体"/>
          <w:b/>
          <w:kern w:val="0"/>
          <w:sz w:val="28"/>
        </w:rPr>
        <w:tab/>
      </w:r>
    </w:p>
    <w:p>
      <w:pPr>
        <w:pStyle w:val="9"/>
        <w:spacing w:line="300" w:lineRule="auto"/>
        <w:ind w:firstLine="480"/>
        <w:rPr>
          <w:i/>
          <w:sz w:val="24"/>
          <w:szCs w:val="24"/>
        </w:rPr>
      </w:pPr>
      <w:r>
        <w:rPr>
          <w:rFonts w:hint="eastAsia"/>
          <w:i/>
          <w:sz w:val="24"/>
          <w:szCs w:val="24"/>
        </w:rPr>
        <w:t>研究基础和试验条件</w:t>
      </w:r>
    </w:p>
    <w:p>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主要研究人员</w:t>
      </w:r>
      <w:r>
        <w:rPr>
          <w:rFonts w:hint="eastAsia" w:ascii="宋体"/>
          <w:b/>
          <w:kern w:val="0"/>
          <w:sz w:val="28"/>
        </w:rPr>
        <w:tab/>
      </w:r>
    </w:p>
    <w:p>
      <w:pPr>
        <w:pStyle w:val="9"/>
        <w:spacing w:line="300" w:lineRule="auto"/>
        <w:ind w:firstLine="480"/>
        <w:rPr>
          <w:rFonts w:asciiTheme="minorEastAsia" w:hAnsiTheme="minorEastAsia"/>
          <w:i/>
          <w:sz w:val="24"/>
          <w:szCs w:val="24"/>
        </w:rPr>
      </w:pPr>
      <w:bookmarkStart w:id="26" w:name="_Toc513454613"/>
      <w:bookmarkStart w:id="27" w:name="_Toc513455553"/>
      <w:bookmarkStart w:id="28" w:name="_Toc514238619"/>
      <w:r>
        <w:rPr>
          <w:i/>
          <w:sz w:val="24"/>
          <w:szCs w:val="24"/>
        </w:rPr>
        <w:t>要有项目负责人简介，第一行填写项目负责人，填写骨干研究人员，不包括外协单位人员</w:t>
      </w:r>
    </w:p>
    <w:p>
      <w:pPr>
        <w:pStyle w:val="9"/>
        <w:spacing w:line="300" w:lineRule="auto"/>
        <w:ind w:firstLine="480"/>
        <w:rPr>
          <w:rFonts w:asciiTheme="minorEastAsia" w:hAnsiTheme="minorEastAsia"/>
          <w:sz w:val="24"/>
          <w:szCs w:val="24"/>
        </w:rPr>
      </w:pPr>
    </w:p>
    <w:p>
      <w:pPr>
        <w:spacing w:before="156" w:beforeLines="50" w:after="156" w:afterLines="50"/>
        <w:jc w:val="center"/>
        <w:outlineLvl w:val="0"/>
        <w:rPr>
          <w:b/>
          <w:sz w:val="24"/>
        </w:rPr>
      </w:pPr>
      <w:r>
        <w:rPr>
          <w:b/>
          <w:sz w:val="24"/>
        </w:rPr>
        <w:t>表X  主要研究人员概况表</w:t>
      </w:r>
      <w:bookmarkEnd w:id="26"/>
      <w:bookmarkEnd w:id="27"/>
      <w:bookmarkEnd w:id="28"/>
    </w:p>
    <w:tbl>
      <w:tblPr>
        <w:tblStyle w:val="28"/>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82"/>
        <w:gridCol w:w="1417"/>
        <w:gridCol w:w="1286"/>
        <w:gridCol w:w="1302"/>
        <w:gridCol w:w="142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序号</w:t>
            </w:r>
          </w:p>
        </w:tc>
        <w:tc>
          <w:tcPr>
            <w:tcW w:w="1182"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单位</w:t>
            </w:r>
          </w:p>
        </w:tc>
        <w:tc>
          <w:tcPr>
            <w:tcW w:w="1286" w:type="dxa"/>
            <w:tcBorders>
              <w:top w:val="single" w:color="auto" w:sz="4" w:space="0"/>
              <w:left w:val="single" w:color="auto" w:sz="4" w:space="0"/>
              <w:bottom w:val="single" w:color="auto" w:sz="4" w:space="0"/>
              <w:right w:val="single" w:color="auto" w:sz="4" w:space="0"/>
            </w:tcBorders>
          </w:tcPr>
          <w:p>
            <w:pPr>
              <w:spacing w:before="120" w:after="120"/>
              <w:jc w:val="center"/>
              <w:rPr>
                <w:b/>
                <w:sz w:val="24"/>
              </w:rPr>
            </w:pPr>
            <w:r>
              <w:rPr>
                <w:rFonts w:hint="eastAsia"/>
                <w:b/>
                <w:sz w:val="24"/>
              </w:rPr>
              <w:t>出生年月</w:t>
            </w:r>
          </w:p>
        </w:tc>
        <w:tc>
          <w:tcPr>
            <w:tcW w:w="1302"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职称/职务</w:t>
            </w:r>
          </w:p>
        </w:tc>
        <w:tc>
          <w:tcPr>
            <w:tcW w:w="142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专业</w:t>
            </w:r>
          </w:p>
        </w:tc>
        <w:tc>
          <w:tcPr>
            <w:tcW w:w="1512"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 w:val="24"/>
              </w:rPr>
            </w:pPr>
            <w:r>
              <w:rPr>
                <w:rFonts w:eastAsia="仿宋_GB2312"/>
                <w:bCs/>
                <w:sz w:val="24"/>
              </w:rPr>
              <w:t>1</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i/>
                <w:sz w:val="24"/>
              </w:rPr>
            </w:pPr>
            <w:r>
              <w:rPr>
                <w:rFonts w:eastAsia="仿宋_GB2312"/>
                <w:bCs/>
                <w:i/>
                <w:sz w:val="24"/>
              </w:rPr>
              <w:t>负责人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 w:val="24"/>
              </w:rPr>
            </w:pPr>
            <w:r>
              <w:rPr>
                <w:rFonts w:eastAsia="仿宋_GB2312"/>
                <w:bCs/>
                <w:sz w:val="24"/>
              </w:rPr>
              <w:t>2</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r>
              <w:rPr>
                <w:rFonts w:eastAsia="仿宋_GB2312"/>
                <w:bCs/>
                <w:sz w:val="24"/>
              </w:rPr>
              <w:t>3</w:t>
            </w:r>
          </w:p>
        </w:tc>
        <w:tc>
          <w:tcPr>
            <w:tcW w:w="11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r>
    </w:tbl>
    <w:p>
      <w:pPr>
        <w:autoSpaceDE w:val="0"/>
        <w:autoSpaceDN w:val="0"/>
        <w:adjustRightInd w:val="0"/>
        <w:spacing w:line="400" w:lineRule="exact"/>
        <w:rPr>
          <w:rFonts w:ascii="宋体"/>
          <w:b/>
          <w:kern w:val="0"/>
          <w:sz w:val="32"/>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组织管理措施</w:t>
      </w:r>
      <w:r>
        <w:rPr>
          <w:rFonts w:hint="eastAsia" w:ascii="宋体"/>
          <w:b/>
          <w:kern w:val="0"/>
          <w:sz w:val="28"/>
        </w:rPr>
        <w:tab/>
      </w:r>
    </w:p>
    <w:p>
      <w:pPr>
        <w:autoSpaceDE w:val="0"/>
        <w:autoSpaceDN w:val="0"/>
        <w:adjustRightInd w:val="0"/>
        <w:spacing w:line="400" w:lineRule="exact"/>
        <w:rPr>
          <w:rFonts w:ascii="宋体"/>
          <w:b/>
          <w:kern w:val="0"/>
          <w:sz w:val="32"/>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项目组织方式</w:t>
      </w:r>
      <w:r>
        <w:rPr>
          <w:rFonts w:hint="eastAsia" w:ascii="宋体"/>
          <w:b/>
          <w:kern w:val="0"/>
          <w:sz w:val="28"/>
        </w:rPr>
        <w:tab/>
      </w:r>
    </w:p>
    <w:p>
      <w:pPr>
        <w:autoSpaceDE w:val="0"/>
        <w:autoSpaceDN w:val="0"/>
        <w:adjustRightInd w:val="0"/>
        <w:spacing w:line="400" w:lineRule="exact"/>
        <w:rPr>
          <w:rFonts w:ascii="宋体"/>
          <w:b/>
          <w:kern w:val="0"/>
          <w:sz w:val="32"/>
        </w:rPr>
      </w:pPr>
    </w:p>
    <w:p>
      <w:pPr>
        <w:pStyle w:val="74"/>
        <w:numPr>
          <w:ilvl w:val="0"/>
          <w:numId w:val="17"/>
        </w:numPr>
        <w:autoSpaceDE w:val="0"/>
        <w:autoSpaceDN w:val="0"/>
        <w:adjustRightInd w:val="0"/>
        <w:spacing w:before="156" w:beforeLines="50" w:after="156" w:afterLines="50" w:line="300" w:lineRule="auto"/>
        <w:ind w:firstLineChars="0"/>
        <w:outlineLvl w:val="1"/>
        <w:rPr>
          <w:rFonts w:ascii="宋体"/>
          <w:b/>
          <w:kern w:val="0"/>
          <w:sz w:val="28"/>
        </w:rPr>
      </w:pPr>
      <w:bookmarkStart w:id="29" w:name="_Toc514238626"/>
      <w:bookmarkStart w:id="30" w:name="_Toc508981745"/>
      <w:r>
        <w:rPr>
          <w:rFonts w:ascii="宋体"/>
          <w:b/>
          <w:kern w:val="0"/>
          <w:sz w:val="28"/>
        </w:rPr>
        <w:t>项目组织方式</w:t>
      </w:r>
      <w:bookmarkEnd w:id="29"/>
      <w:bookmarkEnd w:id="30"/>
    </w:p>
    <w:p>
      <w:pPr>
        <w:pStyle w:val="9"/>
        <w:spacing w:line="300" w:lineRule="auto"/>
        <w:ind w:firstLine="480"/>
        <w:rPr>
          <w:rFonts w:asciiTheme="minorEastAsia" w:hAnsiTheme="minorEastAsia"/>
          <w:sz w:val="24"/>
          <w:szCs w:val="24"/>
        </w:rPr>
      </w:pPr>
      <w:bookmarkStart w:id="31" w:name="_Toc508981746"/>
      <w:bookmarkStart w:id="32" w:name="_Toc514238627"/>
    </w:p>
    <w:p>
      <w:pPr>
        <w:pStyle w:val="74"/>
        <w:numPr>
          <w:ilvl w:val="0"/>
          <w:numId w:val="17"/>
        </w:numPr>
        <w:autoSpaceDE w:val="0"/>
        <w:autoSpaceDN w:val="0"/>
        <w:adjustRightInd w:val="0"/>
        <w:spacing w:before="156" w:beforeLines="50" w:after="156" w:afterLines="50" w:line="300" w:lineRule="auto"/>
        <w:ind w:firstLineChars="0"/>
        <w:outlineLvl w:val="1"/>
        <w:rPr>
          <w:rFonts w:ascii="宋体"/>
          <w:b/>
          <w:kern w:val="0"/>
          <w:sz w:val="28"/>
        </w:rPr>
      </w:pPr>
      <w:r>
        <w:rPr>
          <w:rFonts w:ascii="宋体"/>
          <w:b/>
          <w:kern w:val="0"/>
          <w:sz w:val="28"/>
        </w:rPr>
        <w:t>主要管理措施</w:t>
      </w:r>
      <w:bookmarkEnd w:id="31"/>
      <w:bookmarkEnd w:id="32"/>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主要管理措施</w:t>
      </w:r>
      <w:r>
        <w:rPr>
          <w:rFonts w:hint="eastAsia" w:ascii="宋体"/>
          <w:b/>
          <w:kern w:val="0"/>
          <w:sz w:val="28"/>
        </w:rPr>
        <w:tab/>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风险分析</w:t>
      </w:r>
      <w:r>
        <w:rPr>
          <w:rFonts w:hint="eastAsia" w:ascii="宋体"/>
          <w:b/>
          <w:kern w:val="0"/>
          <w:sz w:val="28"/>
        </w:rPr>
        <w:tab/>
      </w:r>
    </w:p>
    <w:p>
      <w:pPr>
        <w:spacing w:line="360" w:lineRule="atLeast"/>
        <w:rPr>
          <w:sz w:val="24"/>
        </w:rPr>
      </w:pPr>
    </w:p>
    <w:p>
      <w:pPr>
        <w:pStyle w:val="9"/>
        <w:spacing w:line="300" w:lineRule="auto"/>
        <w:ind w:firstLine="480"/>
        <w:rPr>
          <w:rFonts w:asciiTheme="minorEastAsia" w:hAnsiTheme="minorEastAsia"/>
          <w:i/>
          <w:sz w:val="24"/>
          <w:szCs w:val="24"/>
        </w:rPr>
      </w:pPr>
      <w:r>
        <w:rPr>
          <w:rFonts w:hint="eastAsia" w:asciiTheme="minorEastAsia" w:hAnsiTheme="minorEastAsia"/>
          <w:i/>
          <w:sz w:val="24"/>
          <w:szCs w:val="24"/>
        </w:rPr>
        <w:t>从技术风险、管理风险分析，提出规避措施</w:t>
      </w:r>
    </w:p>
    <w:p>
      <w:pPr>
        <w:widowControl/>
        <w:jc w:val="left"/>
        <w:rPr>
          <w:spacing w:val="10"/>
          <w:sz w:val="24"/>
        </w:rPr>
      </w:pPr>
    </w:p>
    <w:p>
      <w:pPr>
        <w:widowControl/>
        <w:jc w:val="left"/>
        <w:rPr>
          <w:spacing w:val="10"/>
          <w:sz w:val="24"/>
        </w:rPr>
      </w:pPr>
    </w:p>
    <w:p>
      <w:pPr>
        <w:widowControl/>
        <w:jc w:val="left"/>
        <w:rPr>
          <w:spacing w:val="10"/>
          <w:sz w:val="24"/>
        </w:rPr>
      </w:pPr>
    </w:p>
    <w:p>
      <w:pPr>
        <w:widowControl/>
        <w:jc w:val="left"/>
        <w:rPr>
          <w:spacing w:val="10"/>
          <w:sz w:val="24"/>
        </w:rPr>
      </w:pPr>
    </w:p>
    <w:p>
      <w:pPr>
        <w:widowControl/>
        <w:jc w:val="left"/>
        <w:rPr>
          <w:spacing w:val="10"/>
          <w:sz w:val="24"/>
        </w:rPr>
        <w:sectPr>
          <w:footerReference r:id="rId35" w:type="default"/>
          <w:footerReference r:id="rId36" w:type="even"/>
          <w:pgSz w:w="11906" w:h="16838"/>
          <w:pgMar w:top="720" w:right="720" w:bottom="720" w:left="720" w:header="851" w:footer="992" w:gutter="0"/>
          <w:pgNumType w:start="1"/>
          <w:cols w:space="720" w:num="1"/>
          <w:titlePg/>
          <w:docGrid w:type="linesAndChars" w:linePitch="312" w:charSpace="0"/>
        </w:sectPr>
      </w:pPr>
    </w:p>
    <w:p>
      <w:pPr>
        <w:pStyle w:val="3"/>
      </w:pPr>
      <w:r>
        <w:rPr>
          <w:rFonts w:hint="eastAsia"/>
        </w:rPr>
        <w:t>附件10：</w:t>
      </w:r>
    </w:p>
    <w:p>
      <w:pPr>
        <w:spacing w:line="400" w:lineRule="exact"/>
        <w:ind w:firstLine="600" w:firstLineChars="200"/>
        <w:jc w:val="center"/>
        <w:rPr>
          <w:b/>
          <w:spacing w:val="10"/>
          <w:sz w:val="28"/>
          <w:szCs w:val="28"/>
        </w:rPr>
      </w:pPr>
      <w:r>
        <w:rPr>
          <w:rFonts w:hint="eastAsia"/>
          <w:b/>
          <w:spacing w:val="10"/>
          <w:sz w:val="28"/>
          <w:szCs w:val="28"/>
        </w:rPr>
        <w:t>询比价项目参与人的资格证明文件（格式）</w:t>
      </w:r>
    </w:p>
    <w:p>
      <w:pPr>
        <w:spacing w:line="400" w:lineRule="exact"/>
        <w:rPr>
          <w:spacing w:val="10"/>
          <w:sz w:val="24"/>
        </w:rPr>
      </w:pPr>
    </w:p>
    <w:p>
      <w:pPr>
        <w:numPr>
          <w:ilvl w:val="0"/>
          <w:numId w:val="18"/>
        </w:numPr>
        <w:spacing w:line="360" w:lineRule="auto"/>
        <w:rPr>
          <w:spacing w:val="10"/>
          <w:sz w:val="24"/>
        </w:rPr>
      </w:pPr>
      <w:r>
        <w:rPr>
          <w:rFonts w:hint="eastAsia"/>
          <w:spacing w:val="10"/>
          <w:sz w:val="24"/>
        </w:rPr>
        <w:t>附件10-1</w:t>
      </w:r>
      <w:r>
        <w:rPr>
          <w:rFonts w:ascii="宋体" w:hAnsi="宋体"/>
          <w:sz w:val="24"/>
        </w:rPr>
        <w:t>法定代表人</w:t>
      </w:r>
      <w:r>
        <w:rPr>
          <w:rFonts w:hint="eastAsia"/>
          <w:spacing w:val="10"/>
          <w:sz w:val="24"/>
        </w:rPr>
        <w:t>授权证书；</w:t>
      </w:r>
    </w:p>
    <w:p>
      <w:pPr>
        <w:numPr>
          <w:ilvl w:val="0"/>
          <w:numId w:val="18"/>
        </w:numPr>
        <w:spacing w:line="360" w:lineRule="auto"/>
        <w:rPr>
          <w:spacing w:val="10"/>
          <w:sz w:val="24"/>
        </w:rPr>
      </w:pPr>
      <w:r>
        <w:rPr>
          <w:rFonts w:hint="eastAsia"/>
          <w:spacing w:val="10"/>
          <w:sz w:val="24"/>
        </w:rPr>
        <w:t>附件10-2制造商资格声明；</w:t>
      </w:r>
    </w:p>
    <w:p>
      <w:pPr>
        <w:numPr>
          <w:ilvl w:val="0"/>
          <w:numId w:val="18"/>
        </w:numPr>
        <w:spacing w:line="360" w:lineRule="auto"/>
        <w:rPr>
          <w:spacing w:val="10"/>
          <w:sz w:val="24"/>
        </w:rPr>
      </w:pPr>
      <w:r>
        <w:rPr>
          <w:rFonts w:hint="eastAsia"/>
          <w:spacing w:val="10"/>
          <w:sz w:val="24"/>
        </w:rPr>
        <w:t>其他说明</w:t>
      </w:r>
    </w:p>
    <w:p>
      <w:pPr>
        <w:spacing w:line="360" w:lineRule="auto"/>
        <w:ind w:firstLine="260" w:firstLineChars="100"/>
        <w:rPr>
          <w:spacing w:val="10"/>
          <w:sz w:val="24"/>
        </w:rPr>
      </w:pPr>
      <w:r>
        <w:rPr>
          <w:rFonts w:hint="eastAsia"/>
          <w:spacing w:val="10"/>
          <w:sz w:val="24"/>
        </w:rPr>
        <w:t>3.1投标方询比价时，应填写和提交10-1至10-2的资料；</w:t>
      </w:r>
    </w:p>
    <w:p>
      <w:pPr>
        <w:spacing w:line="360" w:lineRule="auto"/>
        <w:ind w:firstLine="260" w:firstLineChars="100"/>
        <w:rPr>
          <w:spacing w:val="10"/>
          <w:sz w:val="24"/>
        </w:rPr>
      </w:pPr>
      <w:r>
        <w:rPr>
          <w:rFonts w:hint="eastAsia"/>
          <w:spacing w:val="10"/>
          <w:sz w:val="24"/>
        </w:rPr>
        <w:t>3.2对所附表格中要求的资料和询问应做出肯定的回答；</w:t>
      </w:r>
    </w:p>
    <w:p>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3资格文件的签字人应保证他所作的声明及对一切问题的回答的真实性和准确性；</w:t>
      </w:r>
    </w:p>
    <w:p>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4询比价项目参与人提供的资料文件将由招标方及招标方使用，并据此进行评价和判断，确定询比价项目参与人的资格和履约能力；</w:t>
      </w:r>
    </w:p>
    <w:p>
      <w:pPr>
        <w:spacing w:line="360" w:lineRule="auto"/>
        <w:ind w:firstLine="260" w:firstLineChars="100"/>
        <w:rPr>
          <w:spacing w:val="10"/>
          <w:sz w:val="24"/>
        </w:rPr>
      </w:pPr>
      <w:r>
        <w:rPr>
          <w:rFonts w:hint="eastAsia"/>
          <w:spacing w:val="10"/>
          <w:sz w:val="24"/>
        </w:rPr>
        <w:t>3.5询比价项目参与人提交的文件将给予保密，但不退还；</w:t>
      </w:r>
    </w:p>
    <w:p>
      <w:pPr>
        <w:spacing w:line="360" w:lineRule="auto"/>
        <w:ind w:firstLine="260" w:firstLineChars="100"/>
        <w:rPr>
          <w:spacing w:val="10"/>
          <w:sz w:val="24"/>
        </w:rPr>
      </w:pPr>
      <w:r>
        <w:rPr>
          <w:rFonts w:hint="eastAsia"/>
          <w:spacing w:val="10"/>
          <w:sz w:val="24"/>
        </w:rPr>
        <w:t>3.6全部文件应以中文书写，正本一份，副本三份，分别汇装入投标文件正本、副本中。</w:t>
      </w:r>
    </w:p>
    <w:p>
      <w:pPr>
        <w:widowControl/>
        <w:jc w:val="left"/>
        <w:rPr>
          <w:spacing w:val="10"/>
          <w:sz w:val="24"/>
        </w:rPr>
      </w:pPr>
      <w:r>
        <w:rPr>
          <w:spacing w:val="10"/>
          <w:sz w:val="24"/>
        </w:rPr>
        <w:br w:type="page"/>
      </w:r>
    </w:p>
    <w:p>
      <w:pPr>
        <w:pStyle w:val="3"/>
        <w:rPr>
          <w:rFonts w:ascii="Times New Roman" w:hAnsi="Times New Roman"/>
          <w:spacing w:val="10"/>
        </w:rPr>
      </w:pPr>
      <w:r>
        <w:rPr>
          <w:rFonts w:hint="eastAsia" w:ascii="Times New Roman"/>
          <w:spacing w:val="10"/>
        </w:rPr>
        <w:t>附件</w:t>
      </w:r>
      <w:r>
        <w:rPr>
          <w:rFonts w:hint="eastAsia" w:ascii="Times New Roman" w:hAnsi="Times New Roman"/>
          <w:spacing w:val="10"/>
        </w:rPr>
        <w:t>10-1</w:t>
      </w:r>
      <w:r>
        <w:rPr>
          <w:rFonts w:hint="eastAsia" w:ascii="Times New Roman"/>
          <w:spacing w:val="10"/>
        </w:rPr>
        <w:t>：</w:t>
      </w:r>
    </w:p>
    <w:p>
      <w:pPr>
        <w:spacing w:line="400" w:lineRule="exact"/>
        <w:ind w:firstLine="600" w:firstLineChars="200"/>
        <w:jc w:val="center"/>
        <w:rPr>
          <w:b/>
          <w:spacing w:val="10"/>
          <w:sz w:val="28"/>
          <w:szCs w:val="28"/>
        </w:rPr>
      </w:pPr>
      <w:r>
        <w:rPr>
          <w:b/>
          <w:spacing w:val="10"/>
          <w:sz w:val="28"/>
          <w:szCs w:val="28"/>
        </w:rPr>
        <w:t>法定代表人</w:t>
      </w:r>
      <w:r>
        <w:rPr>
          <w:rFonts w:hint="eastAsia"/>
          <w:b/>
          <w:spacing w:val="10"/>
          <w:sz w:val="28"/>
          <w:szCs w:val="28"/>
        </w:rPr>
        <w:t>授权证书</w:t>
      </w:r>
    </w:p>
    <w:p>
      <w:pPr>
        <w:spacing w:line="400" w:lineRule="exact"/>
        <w:ind w:firstLine="600" w:firstLineChars="200"/>
        <w:jc w:val="center"/>
        <w:rPr>
          <w:b/>
          <w:spacing w:val="10"/>
          <w:sz w:val="28"/>
          <w:szCs w:val="28"/>
        </w:rPr>
      </w:pPr>
    </w:p>
    <w:p>
      <w:pPr>
        <w:spacing w:line="480" w:lineRule="auto"/>
        <w:ind w:firstLine="520" w:firstLineChars="200"/>
        <w:rPr>
          <w:spacing w:val="10"/>
          <w:sz w:val="24"/>
        </w:rPr>
      </w:pPr>
      <w:r>
        <w:rPr>
          <w:rFonts w:hint="eastAsia"/>
          <w:spacing w:val="10"/>
          <w:sz w:val="24"/>
        </w:rPr>
        <w:t>（公司名称）是根据中华人民共和国法律合法注册成立的，公司的法定地址为：（公司地址）。</w:t>
      </w:r>
    </w:p>
    <w:p>
      <w:pPr>
        <w:spacing w:line="480" w:lineRule="auto"/>
        <w:rPr>
          <w:spacing w:val="10"/>
          <w:sz w:val="24"/>
        </w:rPr>
      </w:pPr>
      <w:r>
        <w:rPr>
          <w:rFonts w:hint="eastAsia"/>
          <w:spacing w:val="10"/>
          <w:sz w:val="24"/>
        </w:rPr>
        <w:t>（公司名称）法定代表人，（法定代表人职务姓名），在此授权（被授权人单位、职务/职称、姓名），作为本公司的合法代表，在项目的询比价中（询比价编号：）签署有关文件。本授权书于年月日签字盖章生效，特此声明。</w:t>
      </w:r>
    </w:p>
    <w:p>
      <w:pPr>
        <w:spacing w:line="480" w:lineRule="auto"/>
        <w:rPr>
          <w:spacing w:val="10"/>
          <w:sz w:val="24"/>
        </w:rPr>
      </w:pPr>
    </w:p>
    <w:p>
      <w:pPr>
        <w:spacing w:line="400" w:lineRule="exact"/>
        <w:rPr>
          <w:spacing w:val="10"/>
          <w:sz w:val="24"/>
        </w:rPr>
      </w:pPr>
    </w:p>
    <w:p>
      <w:pPr>
        <w:spacing w:line="400" w:lineRule="exact"/>
        <w:rPr>
          <w:spacing w:val="10"/>
          <w:sz w:val="24"/>
        </w:rPr>
      </w:pPr>
    </w:p>
    <w:p>
      <w:pPr>
        <w:spacing w:line="400" w:lineRule="exact"/>
        <w:rPr>
          <w:spacing w:val="10"/>
          <w:sz w:val="24"/>
        </w:rPr>
      </w:pPr>
    </w:p>
    <w:p>
      <w:pPr>
        <w:spacing w:line="400" w:lineRule="exact"/>
        <w:rPr>
          <w:spacing w:val="10"/>
          <w:sz w:val="24"/>
        </w:rPr>
      </w:pPr>
      <w:r>
        <w:rPr>
          <w:rFonts w:hint="eastAsia"/>
          <w:spacing w:val="10"/>
          <w:sz w:val="24"/>
        </w:rPr>
        <w:t>单位名称（印刷体及盖章）</w:t>
      </w:r>
    </w:p>
    <w:p>
      <w:pPr>
        <w:spacing w:line="400" w:lineRule="exact"/>
        <w:rPr>
          <w:spacing w:val="10"/>
          <w:sz w:val="24"/>
        </w:rPr>
      </w:pPr>
    </w:p>
    <w:p>
      <w:pPr>
        <w:spacing w:line="400" w:lineRule="exact"/>
        <w:rPr>
          <w:spacing w:val="10"/>
          <w:sz w:val="24"/>
        </w:rPr>
      </w:pPr>
    </w:p>
    <w:p>
      <w:pPr>
        <w:spacing w:line="400" w:lineRule="exact"/>
        <w:rPr>
          <w:spacing w:val="10"/>
          <w:sz w:val="24"/>
          <w:u w:val="single"/>
        </w:rPr>
      </w:pPr>
      <w:r>
        <w:rPr>
          <w:rFonts w:hint="eastAsia"/>
          <w:spacing w:val="10"/>
          <w:sz w:val="24"/>
        </w:rPr>
        <w:t>法定代表人签字：</w:t>
      </w:r>
    </w:p>
    <w:p>
      <w:pPr>
        <w:spacing w:line="400" w:lineRule="exact"/>
        <w:rPr>
          <w:spacing w:val="10"/>
          <w:sz w:val="24"/>
        </w:rPr>
      </w:pPr>
    </w:p>
    <w:p>
      <w:pPr>
        <w:spacing w:line="400" w:lineRule="exact"/>
        <w:rPr>
          <w:spacing w:val="10"/>
          <w:sz w:val="24"/>
        </w:rPr>
      </w:pPr>
    </w:p>
    <w:p>
      <w:pPr>
        <w:spacing w:line="400" w:lineRule="exact"/>
        <w:rPr>
          <w:spacing w:val="10"/>
          <w:sz w:val="24"/>
          <w:u w:val="single"/>
        </w:rPr>
      </w:pPr>
      <w:r>
        <w:rPr>
          <w:rFonts w:hint="eastAsia"/>
          <w:spacing w:val="10"/>
          <w:sz w:val="24"/>
        </w:rPr>
        <w:t>授权代表（被授权人）签字：</w:t>
      </w:r>
    </w:p>
    <w:p>
      <w:pPr>
        <w:spacing w:line="400" w:lineRule="exact"/>
        <w:rPr>
          <w:spacing w:val="10"/>
          <w:sz w:val="24"/>
        </w:rPr>
      </w:pPr>
    </w:p>
    <w:p>
      <w:pPr>
        <w:spacing w:line="400" w:lineRule="exact"/>
        <w:rPr>
          <w:spacing w:val="10"/>
          <w:sz w:val="24"/>
        </w:rPr>
      </w:pPr>
    </w:p>
    <w:p>
      <w:pPr>
        <w:spacing w:line="400" w:lineRule="exact"/>
        <w:rPr>
          <w:spacing w:val="10"/>
          <w:sz w:val="24"/>
        </w:rPr>
      </w:pPr>
      <w:r>
        <w:rPr>
          <w:rFonts w:hint="eastAsia"/>
          <w:spacing w:val="10"/>
          <w:sz w:val="24"/>
        </w:rPr>
        <w:t>注：如询比价参与人为法人代表的应在本页注明，可不提供此授权书。</w:t>
      </w:r>
    </w:p>
    <w:p>
      <w:pPr>
        <w:widowControl/>
        <w:jc w:val="left"/>
        <w:rPr>
          <w:spacing w:val="10"/>
          <w:sz w:val="24"/>
        </w:rPr>
      </w:pPr>
      <w:r>
        <w:rPr>
          <w:spacing w:val="10"/>
          <w:sz w:val="24"/>
        </w:rPr>
        <w:br w:type="page"/>
      </w:r>
    </w:p>
    <w:p>
      <w:pPr>
        <w:pStyle w:val="3"/>
        <w:rPr>
          <w:rFonts w:ascii="Times New Roman"/>
          <w:spacing w:val="10"/>
        </w:rPr>
      </w:pPr>
      <w:r>
        <w:rPr>
          <w:rFonts w:hint="eastAsia" w:ascii="Times New Roman"/>
          <w:spacing w:val="10"/>
        </w:rPr>
        <w:t>附件10</w:t>
      </w:r>
      <w:r>
        <w:rPr>
          <w:rFonts w:ascii="Times New Roman"/>
          <w:spacing w:val="10"/>
        </w:rPr>
        <w:t>-2</w:t>
      </w:r>
      <w:r>
        <w:rPr>
          <w:rFonts w:hint="eastAsia" w:ascii="Times New Roman"/>
          <w:spacing w:val="10"/>
        </w:rPr>
        <w:t>：</w:t>
      </w:r>
    </w:p>
    <w:p>
      <w:pPr>
        <w:spacing w:line="400" w:lineRule="exact"/>
        <w:jc w:val="center"/>
        <w:rPr>
          <w:spacing w:val="10"/>
          <w:sz w:val="24"/>
        </w:rPr>
      </w:pPr>
      <w:r>
        <w:rPr>
          <w:rFonts w:hint="eastAsia" w:ascii="宋体" w:hAnsi="宋体"/>
          <w:sz w:val="24"/>
        </w:rPr>
        <w:t>询比价项目参与人的单位简介、经营状况</w:t>
      </w:r>
    </w:p>
    <w:p>
      <w:pPr>
        <w:numPr>
          <w:ilvl w:val="0"/>
          <w:numId w:val="19"/>
        </w:numPr>
        <w:spacing w:line="400" w:lineRule="exact"/>
        <w:rPr>
          <w:spacing w:val="10"/>
          <w:sz w:val="24"/>
        </w:rPr>
      </w:pPr>
      <w:r>
        <w:rPr>
          <w:rFonts w:hint="eastAsia"/>
          <w:spacing w:val="10"/>
          <w:sz w:val="24"/>
        </w:rPr>
        <w:t>投标方名称及概况</w:t>
      </w:r>
      <w:r>
        <w:rPr>
          <w:spacing w:val="10"/>
          <w:sz w:val="24"/>
        </w:rPr>
        <w:t>:</w:t>
      </w:r>
    </w:p>
    <w:p>
      <w:pPr>
        <w:spacing w:line="400" w:lineRule="exact"/>
        <w:ind w:firstLine="260" w:firstLineChars="100"/>
        <w:jc w:val="left"/>
        <w:rPr>
          <w:spacing w:val="10"/>
          <w:sz w:val="24"/>
          <w:u w:val="single"/>
        </w:rPr>
      </w:pPr>
      <w:r>
        <w:rPr>
          <w:spacing w:val="10"/>
          <w:sz w:val="24"/>
        </w:rPr>
        <w:t>1.1</w:t>
      </w:r>
      <w:r>
        <w:rPr>
          <w:rFonts w:hint="eastAsia"/>
          <w:spacing w:val="10"/>
          <w:sz w:val="24"/>
        </w:rPr>
        <w:t>投标方名称：</w:t>
      </w:r>
    </w:p>
    <w:p>
      <w:pPr>
        <w:spacing w:line="400" w:lineRule="exact"/>
        <w:ind w:firstLine="260" w:firstLineChars="100"/>
        <w:jc w:val="left"/>
        <w:rPr>
          <w:spacing w:val="10"/>
          <w:sz w:val="24"/>
          <w:u w:val="single"/>
        </w:rPr>
      </w:pPr>
      <w:r>
        <w:rPr>
          <w:spacing w:val="10"/>
          <w:sz w:val="24"/>
        </w:rPr>
        <w:t>1.2</w:t>
      </w:r>
      <w:r>
        <w:rPr>
          <w:rFonts w:hint="eastAsia"/>
          <w:spacing w:val="10"/>
          <w:sz w:val="24"/>
        </w:rPr>
        <w:t>投标方地址</w:t>
      </w:r>
      <w:r>
        <w:rPr>
          <w:spacing w:val="10"/>
          <w:sz w:val="24"/>
        </w:rPr>
        <w:t xml:space="preserve">  : </w:t>
      </w:r>
    </w:p>
    <w:p>
      <w:pPr>
        <w:spacing w:line="400" w:lineRule="exact"/>
        <w:ind w:left="390" w:hanging="390" w:hangingChars="15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pPr>
        <w:spacing w:line="400" w:lineRule="exact"/>
        <w:ind w:firstLine="260" w:firstLineChars="100"/>
        <w:jc w:val="left"/>
        <w:rPr>
          <w:spacing w:val="10"/>
          <w:sz w:val="24"/>
        </w:rPr>
      </w:pPr>
      <w:r>
        <w:rPr>
          <w:spacing w:val="10"/>
          <w:sz w:val="24"/>
        </w:rPr>
        <w:t>1.3</w:t>
      </w:r>
      <w:r>
        <w:rPr>
          <w:rFonts w:hint="eastAsia"/>
          <w:spacing w:val="10"/>
          <w:sz w:val="24"/>
        </w:rPr>
        <w:t>成立日期或注册日期：</w:t>
      </w:r>
    </w:p>
    <w:p>
      <w:pPr>
        <w:spacing w:line="400" w:lineRule="exact"/>
        <w:ind w:firstLine="260" w:firstLineChars="100"/>
        <w:jc w:val="left"/>
        <w:rPr>
          <w:spacing w:val="10"/>
          <w:sz w:val="24"/>
          <w:u w:val="single"/>
        </w:rPr>
      </w:pPr>
      <w:r>
        <w:rPr>
          <w:spacing w:val="10"/>
          <w:sz w:val="24"/>
        </w:rPr>
        <w:t>1.4</w:t>
      </w:r>
      <w:r>
        <w:rPr>
          <w:rFonts w:hint="eastAsia"/>
          <w:spacing w:val="10"/>
          <w:sz w:val="24"/>
        </w:rPr>
        <w:t>单位性质：</w:t>
      </w:r>
    </w:p>
    <w:p>
      <w:pPr>
        <w:spacing w:line="400" w:lineRule="exact"/>
        <w:ind w:firstLine="260" w:firstLineChars="10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pPr>
        <w:spacing w:line="400" w:lineRule="exact"/>
        <w:ind w:firstLine="260" w:firstLineChars="100"/>
        <w:jc w:val="left"/>
        <w:rPr>
          <w:spacing w:val="10"/>
          <w:sz w:val="24"/>
          <w:u w:val="single"/>
        </w:rPr>
      </w:pPr>
      <w:r>
        <w:rPr>
          <w:spacing w:val="10"/>
          <w:sz w:val="24"/>
        </w:rPr>
        <w:t>1.6</w:t>
      </w:r>
      <w:r>
        <w:rPr>
          <w:rFonts w:hint="eastAsia"/>
          <w:spacing w:val="10"/>
          <w:sz w:val="24"/>
        </w:rPr>
        <w:t>注册资本：</w:t>
      </w:r>
    </w:p>
    <w:p>
      <w:pPr>
        <w:numPr>
          <w:ilvl w:val="0"/>
          <w:numId w:val="19"/>
        </w:numPr>
        <w:spacing w:line="400" w:lineRule="exact"/>
        <w:rPr>
          <w:spacing w:val="10"/>
          <w:sz w:val="24"/>
        </w:rPr>
      </w:pPr>
      <w:r>
        <w:rPr>
          <w:rFonts w:hint="eastAsia"/>
          <w:spacing w:val="10"/>
          <w:sz w:val="24"/>
        </w:rPr>
        <w:t>近三年的主营业务收入</w:t>
      </w:r>
      <w:r>
        <w:rPr>
          <w:spacing w:val="10"/>
          <w:sz w:val="24"/>
        </w:rPr>
        <w:t>:</w:t>
      </w:r>
    </w:p>
    <w:tbl>
      <w:tblPr>
        <w:tblStyle w:val="2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871"/>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240" w:type="dxa"/>
          </w:tcPr>
          <w:p>
            <w:pPr>
              <w:spacing w:line="400" w:lineRule="exact"/>
              <w:jc w:val="center"/>
              <w:rPr>
                <w:spacing w:val="10"/>
                <w:sz w:val="24"/>
              </w:rPr>
            </w:pPr>
            <w:r>
              <w:rPr>
                <w:rFonts w:hint="eastAsia"/>
                <w:spacing w:val="10"/>
                <w:sz w:val="24"/>
              </w:rPr>
              <w:t>年度</w:t>
            </w:r>
          </w:p>
        </w:tc>
        <w:tc>
          <w:tcPr>
            <w:tcW w:w="2871" w:type="dxa"/>
          </w:tcPr>
          <w:p>
            <w:pPr>
              <w:spacing w:line="400" w:lineRule="exact"/>
              <w:jc w:val="center"/>
              <w:rPr>
                <w:spacing w:val="10"/>
                <w:sz w:val="24"/>
              </w:rPr>
            </w:pPr>
            <w:r>
              <w:rPr>
                <w:rFonts w:hint="eastAsia"/>
                <w:spacing w:val="10"/>
                <w:sz w:val="24"/>
              </w:rPr>
              <w:t>国内</w:t>
            </w:r>
          </w:p>
        </w:tc>
        <w:tc>
          <w:tcPr>
            <w:tcW w:w="2872" w:type="dxa"/>
          </w:tcPr>
          <w:p>
            <w:pPr>
              <w:spacing w:line="400" w:lineRule="exact"/>
              <w:jc w:val="center"/>
              <w:rPr>
                <w:spacing w:val="10"/>
                <w:sz w:val="24"/>
              </w:rPr>
            </w:pPr>
            <w:r>
              <w:rPr>
                <w:rFonts w:hint="eastAsia"/>
                <w:spacing w:val="10"/>
                <w:sz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pPr>
              <w:keepNext/>
              <w:tabs>
                <w:tab w:val="left" w:pos="480"/>
              </w:tabs>
              <w:spacing w:line="400" w:lineRule="exact"/>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240" w:type="dxa"/>
          </w:tcPr>
          <w:p>
            <w:pPr>
              <w:keepNext/>
              <w:tabs>
                <w:tab w:val="left" w:pos="480"/>
              </w:tabs>
              <w:spacing w:line="400" w:lineRule="exact"/>
              <w:ind w:left="425"/>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40" w:type="dxa"/>
          </w:tcPr>
          <w:p>
            <w:pPr>
              <w:keepNext/>
              <w:tabs>
                <w:tab w:val="left" w:pos="480"/>
              </w:tabs>
              <w:spacing w:line="400" w:lineRule="exact"/>
              <w:ind w:left="425"/>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pPr>
              <w:keepNext/>
              <w:tabs>
                <w:tab w:val="left" w:pos="480"/>
              </w:tabs>
              <w:spacing w:line="400" w:lineRule="exact"/>
              <w:ind w:left="425"/>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bl>
    <w:p>
      <w:pPr>
        <w:numPr>
          <w:ilvl w:val="0"/>
          <w:numId w:val="19"/>
        </w:numPr>
        <w:spacing w:line="400" w:lineRule="exact"/>
        <w:rPr>
          <w:spacing w:val="10"/>
          <w:sz w:val="24"/>
        </w:rPr>
      </w:pPr>
      <w:r>
        <w:rPr>
          <w:rFonts w:hint="eastAsia"/>
          <w:spacing w:val="10"/>
          <w:sz w:val="24"/>
        </w:rPr>
        <w:t>开户银行和账户：</w:t>
      </w:r>
    </w:p>
    <w:p>
      <w:pPr>
        <w:numPr>
          <w:ilvl w:val="0"/>
          <w:numId w:val="19"/>
        </w:numPr>
        <w:spacing w:line="400" w:lineRule="exact"/>
        <w:rPr>
          <w:spacing w:val="10"/>
          <w:sz w:val="24"/>
        </w:rPr>
      </w:pPr>
      <w:r>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项目询比价参与人经注册会计师事务所审计的上一年度的财务报表，至少包括资产负债表和损益表和现金流量表（在上一年度的财务报表未进行审计前可另外增加提供再上一年的财务报表）。（高校无需提供））</w:t>
      </w:r>
    </w:p>
    <w:p>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pPr>
        <w:spacing w:line="480" w:lineRule="auto"/>
        <w:jc w:val="left"/>
        <w:rPr>
          <w:spacing w:val="10"/>
          <w:sz w:val="24"/>
        </w:rPr>
      </w:pPr>
      <w:r>
        <w:rPr>
          <w:rFonts w:hint="eastAsia"/>
          <w:spacing w:val="10"/>
          <w:sz w:val="24"/>
        </w:rPr>
        <w:t>投标方名称（盖章）：</w:t>
      </w:r>
    </w:p>
    <w:p>
      <w:pPr>
        <w:spacing w:line="480" w:lineRule="auto"/>
        <w:rPr>
          <w:spacing w:val="10"/>
          <w:sz w:val="24"/>
          <w:u w:val="single"/>
        </w:rPr>
      </w:pPr>
      <w:r>
        <w:rPr>
          <w:rFonts w:hint="eastAsia"/>
          <w:spacing w:val="10"/>
          <w:sz w:val="24"/>
        </w:rPr>
        <w:t>授权代表签字：</w:t>
      </w:r>
    </w:p>
    <w:p>
      <w:pPr>
        <w:spacing w:line="480" w:lineRule="auto"/>
        <w:rPr>
          <w:spacing w:val="10"/>
          <w:sz w:val="24"/>
        </w:rPr>
      </w:pPr>
      <w:r>
        <w:rPr>
          <w:rFonts w:hint="eastAsia"/>
          <w:spacing w:val="10"/>
          <w:sz w:val="24"/>
        </w:rPr>
        <w:t>授权代表姓名和职务（印刷体）：</w:t>
      </w:r>
    </w:p>
    <w:p>
      <w:pPr>
        <w:spacing w:line="480" w:lineRule="auto"/>
        <w:rPr>
          <w:spacing w:val="10"/>
          <w:sz w:val="24"/>
          <w:u w:val="single"/>
        </w:rPr>
      </w:pPr>
      <w:r>
        <w:rPr>
          <w:rFonts w:hint="eastAsia"/>
          <w:spacing w:val="10"/>
          <w:sz w:val="24"/>
        </w:rPr>
        <w:t>传真／电话：</w:t>
      </w:r>
    </w:p>
    <w:p>
      <w:pPr>
        <w:spacing w:line="480" w:lineRule="auto"/>
        <w:rPr>
          <w:spacing w:val="10"/>
          <w:sz w:val="24"/>
        </w:rPr>
      </w:pPr>
      <w:r>
        <w:rPr>
          <w:rFonts w:hint="eastAsia"/>
          <w:spacing w:val="10"/>
          <w:sz w:val="24"/>
        </w:rPr>
        <w:t>日期：年月日</w:t>
      </w:r>
      <w:r>
        <w:rPr>
          <w:spacing w:val="10"/>
          <w:sz w:val="24"/>
        </w:rPr>
        <w:t>.</w:t>
      </w:r>
    </w:p>
    <w:p>
      <w:pPr>
        <w:spacing w:line="480" w:lineRule="auto"/>
        <w:rPr>
          <w:spacing w:val="10"/>
          <w:sz w:val="24"/>
        </w:rPr>
      </w:pPr>
    </w:p>
    <w:p>
      <w:pPr>
        <w:pStyle w:val="3"/>
        <w:rPr>
          <w:rFonts w:ascii="Times New Roman"/>
          <w:spacing w:val="10"/>
        </w:rPr>
      </w:pPr>
      <w:r>
        <w:rPr>
          <w:rFonts w:hint="eastAsia" w:ascii="Times New Roman"/>
          <w:spacing w:val="10"/>
        </w:rPr>
        <w:t>附件11：</w:t>
      </w:r>
    </w:p>
    <w:p>
      <w:pPr>
        <w:widowControl/>
        <w:adjustRightInd w:val="0"/>
        <w:snapToGrid w:val="0"/>
        <w:spacing w:line="360" w:lineRule="auto"/>
        <w:jc w:val="left"/>
        <w:rPr>
          <w:spacing w:val="10"/>
        </w:rPr>
      </w:pPr>
      <w:r>
        <w:rPr>
          <w:rFonts w:hint="eastAsia"/>
          <w:spacing w:val="10"/>
        </w:rPr>
        <w:t>询比价项目参与人授权代表身份证复印件</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rPr>
      </w:pPr>
      <w:r>
        <w:rPr>
          <w:rFonts w:hint="eastAsia"/>
          <w:spacing w:val="10"/>
          <w:sz w:val="24"/>
        </w:rPr>
        <w:t>询比价单位盖章：单位</w:t>
      </w:r>
      <w:r>
        <w:rPr>
          <w:spacing w:val="10"/>
          <w:sz w:val="24"/>
        </w:rPr>
        <w:t>名称</w:t>
      </w:r>
    </w:p>
    <w:p>
      <w:pPr>
        <w:pStyle w:val="3"/>
        <w:rPr>
          <w:rFonts w:ascii="Times New Roman"/>
          <w:spacing w:val="10"/>
        </w:rPr>
      </w:pPr>
      <w:r>
        <w:rPr>
          <w:rFonts w:hint="eastAsia" w:ascii="Times New Roman"/>
          <w:spacing w:val="10"/>
        </w:rPr>
        <w:t>附件12：</w:t>
      </w:r>
    </w:p>
    <w:p>
      <w:pPr>
        <w:widowControl/>
        <w:adjustRightInd w:val="0"/>
        <w:snapToGrid w:val="0"/>
        <w:spacing w:line="360" w:lineRule="auto"/>
        <w:jc w:val="left"/>
        <w:rPr>
          <w:spacing w:val="10"/>
        </w:rPr>
      </w:pPr>
      <w:r>
        <w:rPr>
          <w:rFonts w:hint="eastAsia"/>
          <w:spacing w:val="10"/>
        </w:rPr>
        <w:t>加盖询比价项目参与人公章的询比价项目参与人营业执照副本复印件（盖章）。</w:t>
      </w:r>
    </w:p>
    <w:p>
      <w:pPr>
        <w:pStyle w:val="3"/>
        <w:rPr>
          <w:rFonts w:ascii="Times New Roman"/>
          <w:spacing w:val="10"/>
        </w:rPr>
      </w:pPr>
      <w:r>
        <w:rPr>
          <w:rFonts w:hint="eastAsia" w:ascii="Times New Roman"/>
          <w:spacing w:val="10"/>
        </w:rPr>
        <w:t>附件13：</w:t>
      </w:r>
    </w:p>
    <w:p>
      <w:pPr>
        <w:widowControl/>
        <w:adjustRightInd w:val="0"/>
        <w:snapToGrid w:val="0"/>
        <w:spacing w:line="360" w:lineRule="auto"/>
        <w:jc w:val="left"/>
        <w:rPr>
          <w:spacing w:val="10"/>
        </w:rPr>
      </w:pPr>
      <w:r>
        <w:rPr>
          <w:rFonts w:hint="eastAsia"/>
          <w:i/>
          <w:spacing w:val="10"/>
        </w:rPr>
        <w:t>近三年来与询比价项目及服务有关的课题或合同业绩清单表及证明材料（课题或合同验收证明</w:t>
      </w:r>
      <w:r>
        <w:rPr>
          <w:rFonts w:hint="eastAsia"/>
          <w:spacing w:val="10"/>
        </w:rPr>
        <w:t>）</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i/>
          <w:spacing w:val="10"/>
        </w:rPr>
      </w:pPr>
      <w:r>
        <w:rPr>
          <w:rFonts w:hint="eastAsia"/>
          <w:spacing w:val="10"/>
          <w:sz w:val="24"/>
        </w:rPr>
        <w:t>询比价单位盖章：单位</w:t>
      </w:r>
      <w:r>
        <w:rPr>
          <w:spacing w:val="10"/>
          <w:sz w:val="24"/>
        </w:rPr>
        <w:t>名称</w:t>
      </w:r>
    </w:p>
    <w:p>
      <w:pPr>
        <w:pStyle w:val="3"/>
        <w:rPr>
          <w:rFonts w:ascii="Times New Roman"/>
          <w:spacing w:val="10"/>
        </w:rPr>
      </w:pPr>
      <w:r>
        <w:rPr>
          <w:rFonts w:hint="eastAsia" w:ascii="Times New Roman"/>
          <w:spacing w:val="10"/>
        </w:rPr>
        <w:t>附件14：</w:t>
      </w:r>
    </w:p>
    <w:p>
      <w:pPr>
        <w:widowControl/>
        <w:adjustRightInd w:val="0"/>
        <w:snapToGrid w:val="0"/>
        <w:spacing w:line="360" w:lineRule="auto"/>
        <w:jc w:val="left"/>
        <w:rPr>
          <w:spacing w:val="10"/>
        </w:rPr>
      </w:pPr>
      <w:r>
        <w:rPr>
          <w:rFonts w:hint="eastAsia"/>
          <w:i/>
          <w:spacing w:val="10"/>
        </w:rPr>
        <w:t>售后服务情况</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pPr>
      <w:r>
        <w:rPr>
          <w:rFonts w:hint="eastAsia"/>
          <w:spacing w:val="10"/>
          <w:sz w:val="24"/>
        </w:rPr>
        <w:t>询比价单位盖章：单位</w:t>
      </w:r>
      <w:r>
        <w:rPr>
          <w:spacing w:val="10"/>
          <w:sz w:val="24"/>
        </w:rPr>
        <w:t>名称</w:t>
      </w:r>
    </w:p>
    <w:p>
      <w:pPr>
        <w:spacing w:line="400" w:lineRule="exact"/>
        <w:rPr>
          <w:spacing w:val="10"/>
          <w:sz w:val="24"/>
        </w:rPr>
      </w:pPr>
    </w:p>
    <w:p>
      <w:pPr>
        <w:pStyle w:val="3"/>
        <w:rPr>
          <w:rFonts w:ascii="Times New Roman"/>
          <w:spacing w:val="10"/>
        </w:rPr>
      </w:pPr>
      <w:r>
        <w:rPr>
          <w:rFonts w:hint="eastAsia" w:ascii="Times New Roman"/>
          <w:spacing w:val="10"/>
        </w:rPr>
        <w:t>附件15：</w:t>
      </w:r>
    </w:p>
    <w:p>
      <w:pPr>
        <w:widowControl/>
        <w:adjustRightInd w:val="0"/>
        <w:snapToGrid w:val="0"/>
        <w:spacing w:line="360" w:lineRule="auto"/>
        <w:jc w:val="left"/>
        <w:rPr>
          <w:i/>
          <w:spacing w:val="10"/>
        </w:rPr>
      </w:pPr>
      <w:r>
        <w:rPr>
          <w:rFonts w:hint="eastAsia"/>
          <w:i/>
          <w:spacing w:val="10"/>
        </w:rPr>
        <w:t>其它需要说明的情况，如果没有可不提供</w:t>
      </w:r>
    </w:p>
    <w:p>
      <w:pPr>
        <w:widowControl/>
        <w:adjustRightInd w:val="0"/>
        <w:snapToGrid w:val="0"/>
        <w:spacing w:line="360" w:lineRule="auto"/>
        <w:jc w:val="left"/>
        <w:rPr>
          <w:i/>
          <w:spacing w:val="10"/>
        </w:rPr>
      </w:pPr>
    </w:p>
    <w:sectPr>
      <w:headerReference r:id="rId39" w:type="first"/>
      <w:footerReference r:id="rId42" w:type="first"/>
      <w:headerReference r:id="rId37" w:type="default"/>
      <w:footerReference r:id="rId40" w:type="default"/>
      <w:headerReference r:id="rId38" w:type="even"/>
      <w:footerReference r:id="rId41" w:type="even"/>
      <w:pgSz w:w="11906" w:h="16838"/>
      <w:pgMar w:top="720" w:right="720" w:bottom="720" w:left="720"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10</w:t>
    </w:r>
    <w:r>
      <w:rPr>
        <w:rStyle w:val="32"/>
      </w:rPr>
      <w:fldChar w:fldCharType="end"/>
    </w:r>
  </w:p>
  <w:p>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pPr>
      <w:pStyle w:val="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28</w:t>
    </w:r>
    <w:r>
      <w:rPr>
        <w:rStyle w:val="32"/>
      </w:rPr>
      <w:fldChar w:fldCharType="end"/>
    </w:r>
  </w:p>
  <w:p>
    <w:pPr>
      <w:pStyle w:val="2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page" w:x="5995" w:y="529"/>
      <w:rPr>
        <w:rStyle w:val="32"/>
      </w:rPr>
    </w:pPr>
    <w:r>
      <w:rPr>
        <w:rStyle w:val="32"/>
      </w:rPr>
      <w:fldChar w:fldCharType="begin"/>
    </w:r>
    <w:r>
      <w:rPr>
        <w:rStyle w:val="32"/>
      </w:rPr>
      <w:instrText xml:space="preserve">PAGE  </w:instrText>
    </w:r>
    <w:r>
      <w:rPr>
        <w:rStyle w:val="32"/>
      </w:rPr>
      <w:fldChar w:fldCharType="separate"/>
    </w:r>
    <w:r>
      <w:rPr>
        <w:rStyle w:val="32"/>
      </w:rPr>
      <w:t>6</w:t>
    </w:r>
    <w:r>
      <w:rPr>
        <w:rStyle w:val="32"/>
      </w:rPr>
      <w:fldChar w:fldCharType="end"/>
    </w:r>
  </w:p>
  <w:p>
    <w:pPr>
      <w:pStyle w:val="2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41</w:t>
    </w:r>
    <w:r>
      <w:rPr>
        <w:rStyle w:val="32"/>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w:t>
    </w:r>
    <w:r>
      <w:rPr>
        <w:rStyle w:val="32"/>
      </w:rPr>
      <w:fldChar w:fldCharType="end"/>
    </w:r>
  </w:p>
  <w:p>
    <w:pPr>
      <w:pStyle w:val="2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17</w:t>
    </w:r>
    <w:r>
      <w:rPr>
        <w:rStyle w:val="32"/>
      </w:rPr>
      <w:fldChar w:fldCharType="end"/>
    </w:r>
  </w:p>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25</w:t>
    </w:r>
    <w:r>
      <w:rPr>
        <w:rStyle w:val="32"/>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072B7"/>
    <w:multiLevelType w:val="singleLevel"/>
    <w:tmpl w:val="E03072B7"/>
    <w:lvl w:ilvl="0" w:tentative="0">
      <w:start w:val="1"/>
      <w:numFmt w:val="decimal"/>
      <w:lvlText w:val="%1."/>
      <w:lvlJc w:val="left"/>
      <w:pPr>
        <w:tabs>
          <w:tab w:val="left" w:pos="312"/>
        </w:tabs>
      </w:pPr>
    </w:lvl>
  </w:abstractNum>
  <w:abstractNum w:abstractNumId="1">
    <w:nsid w:val="038241AA"/>
    <w:multiLevelType w:val="multilevel"/>
    <w:tmpl w:val="03824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117136"/>
    <w:multiLevelType w:val="multilevel"/>
    <w:tmpl w:val="0D117136"/>
    <w:lvl w:ilvl="0" w:tentative="0">
      <w:start w:val="1"/>
      <w:numFmt w:val="decimal"/>
      <w:lvlText w:val="%1"/>
      <w:lvlJc w:val="left"/>
      <w:pPr>
        <w:tabs>
          <w:tab w:val="left" w:pos="584"/>
        </w:tabs>
        <w:ind w:left="584" w:hanging="360"/>
      </w:pPr>
      <w:rPr>
        <w:rFonts w:hint="default"/>
      </w:rPr>
    </w:lvl>
    <w:lvl w:ilvl="1" w:tentative="0">
      <w:start w:val="1"/>
      <w:numFmt w:val="lowerLetter"/>
      <w:lvlText w:val="%2)"/>
      <w:lvlJc w:val="left"/>
      <w:pPr>
        <w:tabs>
          <w:tab w:val="left" w:pos="1064"/>
        </w:tabs>
        <w:ind w:left="1064" w:hanging="420"/>
      </w:pPr>
    </w:lvl>
    <w:lvl w:ilvl="2" w:tentative="0">
      <w:start w:val="1"/>
      <w:numFmt w:val="lowerRoman"/>
      <w:lvlText w:val="%3."/>
      <w:lvlJc w:val="right"/>
      <w:pPr>
        <w:tabs>
          <w:tab w:val="left" w:pos="1484"/>
        </w:tabs>
        <w:ind w:left="1484" w:hanging="420"/>
      </w:pPr>
    </w:lvl>
    <w:lvl w:ilvl="3" w:tentative="0">
      <w:start w:val="1"/>
      <w:numFmt w:val="decimal"/>
      <w:lvlText w:val="%4."/>
      <w:lvlJc w:val="left"/>
      <w:pPr>
        <w:tabs>
          <w:tab w:val="left" w:pos="1904"/>
        </w:tabs>
        <w:ind w:left="1904" w:hanging="420"/>
      </w:pPr>
    </w:lvl>
    <w:lvl w:ilvl="4" w:tentative="0">
      <w:start w:val="1"/>
      <w:numFmt w:val="lowerLetter"/>
      <w:lvlText w:val="%5)"/>
      <w:lvlJc w:val="left"/>
      <w:pPr>
        <w:tabs>
          <w:tab w:val="left" w:pos="2324"/>
        </w:tabs>
        <w:ind w:left="2324" w:hanging="420"/>
      </w:pPr>
    </w:lvl>
    <w:lvl w:ilvl="5" w:tentative="0">
      <w:start w:val="1"/>
      <w:numFmt w:val="lowerRoman"/>
      <w:lvlText w:val="%6."/>
      <w:lvlJc w:val="right"/>
      <w:pPr>
        <w:tabs>
          <w:tab w:val="left" w:pos="2744"/>
        </w:tabs>
        <w:ind w:left="2744" w:hanging="420"/>
      </w:pPr>
    </w:lvl>
    <w:lvl w:ilvl="6" w:tentative="0">
      <w:start w:val="1"/>
      <w:numFmt w:val="decimal"/>
      <w:lvlText w:val="%7."/>
      <w:lvlJc w:val="left"/>
      <w:pPr>
        <w:tabs>
          <w:tab w:val="left" w:pos="3164"/>
        </w:tabs>
        <w:ind w:left="3164" w:hanging="420"/>
      </w:pPr>
    </w:lvl>
    <w:lvl w:ilvl="7" w:tentative="0">
      <w:start w:val="1"/>
      <w:numFmt w:val="lowerLetter"/>
      <w:lvlText w:val="%8)"/>
      <w:lvlJc w:val="left"/>
      <w:pPr>
        <w:tabs>
          <w:tab w:val="left" w:pos="3584"/>
        </w:tabs>
        <w:ind w:left="3584" w:hanging="420"/>
      </w:pPr>
    </w:lvl>
    <w:lvl w:ilvl="8" w:tentative="0">
      <w:start w:val="1"/>
      <w:numFmt w:val="lowerRoman"/>
      <w:lvlText w:val="%9."/>
      <w:lvlJc w:val="right"/>
      <w:pPr>
        <w:tabs>
          <w:tab w:val="left" w:pos="4004"/>
        </w:tabs>
        <w:ind w:left="4004" w:hanging="420"/>
      </w:pPr>
    </w:lvl>
  </w:abstractNum>
  <w:abstractNum w:abstractNumId="3">
    <w:nsid w:val="311665A9"/>
    <w:multiLevelType w:val="multilevel"/>
    <w:tmpl w:val="311665A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2907691"/>
    <w:multiLevelType w:val="singleLevel"/>
    <w:tmpl w:val="32907691"/>
    <w:lvl w:ilvl="0" w:tentative="0">
      <w:start w:val="1"/>
      <w:numFmt w:val="upperLetter"/>
      <w:pStyle w:val="2"/>
      <w:lvlText w:val="%1．"/>
      <w:lvlJc w:val="left"/>
      <w:pPr>
        <w:tabs>
          <w:tab w:val="left" w:pos="905"/>
        </w:tabs>
        <w:ind w:left="905" w:hanging="480"/>
      </w:pPr>
      <w:rPr>
        <w:rFonts w:hint="eastAsia"/>
      </w:rPr>
    </w:lvl>
  </w:abstractNum>
  <w:abstractNum w:abstractNumId="5">
    <w:nsid w:val="3BB97AAE"/>
    <w:multiLevelType w:val="multilevel"/>
    <w:tmpl w:val="3BB97AAE"/>
    <w:lvl w:ilvl="0" w:tentative="0">
      <w:start w:val="1"/>
      <w:numFmt w:val="decimal"/>
      <w:lvlText w:val="（%1）"/>
      <w:lvlJc w:val="left"/>
      <w:pPr>
        <w:tabs>
          <w:tab w:val="left" w:pos="1440"/>
        </w:tabs>
        <w:ind w:left="1440" w:hanging="720"/>
      </w:pPr>
      <w:rPr>
        <w:rFonts w:hint="eastAsia" w:hAnsi="Times New Roman"/>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6">
    <w:nsid w:val="449B3EB3"/>
    <w:multiLevelType w:val="multilevel"/>
    <w:tmpl w:val="449B3EB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561687D"/>
    <w:multiLevelType w:val="multilevel"/>
    <w:tmpl w:val="4561687D"/>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95E6C59"/>
    <w:multiLevelType w:val="multilevel"/>
    <w:tmpl w:val="495E6C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2E551AA"/>
    <w:multiLevelType w:val="multilevel"/>
    <w:tmpl w:val="52E551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AD24E3"/>
    <w:multiLevelType w:val="multilevel"/>
    <w:tmpl w:val="55AD24E3"/>
    <w:lvl w:ilvl="0" w:tentative="0">
      <w:start w:val="1"/>
      <w:numFmt w:val="upperLetter"/>
      <w:pStyle w:val="7"/>
      <w:lvlText w:val="%1."/>
      <w:lvlJc w:val="left"/>
      <w:pPr>
        <w:tabs>
          <w:tab w:val="left" w:pos="3480"/>
        </w:tabs>
        <w:ind w:left="34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73027A5"/>
    <w:multiLevelType w:val="multilevel"/>
    <w:tmpl w:val="573027A5"/>
    <w:lvl w:ilvl="0" w:tentative="0">
      <w:start w:val="1"/>
      <w:numFmt w:val="lowerLetter"/>
      <w:lvlText w:val="%1."/>
      <w:lvlJc w:val="left"/>
      <w:pPr>
        <w:tabs>
          <w:tab w:val="left" w:pos="360"/>
        </w:tabs>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973573C"/>
    <w:multiLevelType w:val="multilevel"/>
    <w:tmpl w:val="597357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B82450"/>
    <w:multiLevelType w:val="multilevel"/>
    <w:tmpl w:val="68B8245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AE64207"/>
    <w:multiLevelType w:val="multilevel"/>
    <w:tmpl w:val="6AE642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B974393"/>
    <w:multiLevelType w:val="multilevel"/>
    <w:tmpl w:val="6B9743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7C2DFA"/>
    <w:multiLevelType w:val="multilevel"/>
    <w:tmpl w:val="7A7C2D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680418"/>
    <w:multiLevelType w:val="singleLevel"/>
    <w:tmpl w:val="7C680418"/>
    <w:lvl w:ilvl="0" w:tentative="0">
      <w:start w:val="1"/>
      <w:numFmt w:val="decimal"/>
      <w:lvlText w:val="%1."/>
      <w:lvlJc w:val="left"/>
      <w:pPr>
        <w:ind w:left="420" w:hanging="420"/>
      </w:pPr>
    </w:lvl>
  </w:abstractNum>
  <w:abstractNum w:abstractNumId="18">
    <w:nsid w:val="7ECE7AC8"/>
    <w:multiLevelType w:val="multilevel"/>
    <w:tmpl w:val="7ECE7AC8"/>
    <w:lvl w:ilvl="0" w:tentative="0">
      <w:start w:val="1"/>
      <w:numFmt w:val="decimal"/>
      <w:pStyle w:val="76"/>
      <w:lvlText w:val="图%1"/>
      <w:lvlJc w:val="left"/>
      <w:pPr>
        <w:tabs>
          <w:tab w:val="left" w:pos="720"/>
        </w:tabs>
        <w:ind w:left="0" w:firstLine="0"/>
      </w:pPr>
      <w:rPr>
        <w:rFonts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0"/>
  </w:num>
  <w:num w:numId="3">
    <w:abstractNumId w:val="18"/>
  </w:num>
  <w:num w:numId="4">
    <w:abstractNumId w:val="17"/>
  </w:num>
  <w:num w:numId="5">
    <w:abstractNumId w:val="7"/>
  </w:num>
  <w:num w:numId="6">
    <w:abstractNumId w:val="11"/>
  </w:num>
  <w:num w:numId="7">
    <w:abstractNumId w:val="5"/>
  </w:num>
  <w:num w:numId="8">
    <w:abstractNumId w:val="1"/>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15"/>
  </w:num>
  <w:num w:numId="14">
    <w:abstractNumId w:val="16"/>
  </w:num>
  <w:num w:numId="15">
    <w:abstractNumId w:val="8"/>
  </w:num>
  <w:num w:numId="16">
    <w:abstractNumId w:val="12"/>
  </w:num>
  <w:num w:numId="17">
    <w:abstractNumId w:val="9"/>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578"/>
    <w:rsid w:val="00011CEC"/>
    <w:rsid w:val="00012092"/>
    <w:rsid w:val="00012165"/>
    <w:rsid w:val="00012AEA"/>
    <w:rsid w:val="00012DC7"/>
    <w:rsid w:val="000132BF"/>
    <w:rsid w:val="00013364"/>
    <w:rsid w:val="00013AE2"/>
    <w:rsid w:val="000141C7"/>
    <w:rsid w:val="00014446"/>
    <w:rsid w:val="00015038"/>
    <w:rsid w:val="0001524C"/>
    <w:rsid w:val="00015DF9"/>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04F"/>
    <w:rsid w:val="000403BF"/>
    <w:rsid w:val="0004094E"/>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559"/>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1BB8"/>
    <w:rsid w:val="00073D2F"/>
    <w:rsid w:val="00073EDE"/>
    <w:rsid w:val="00073F32"/>
    <w:rsid w:val="00074B15"/>
    <w:rsid w:val="00075251"/>
    <w:rsid w:val="0007561C"/>
    <w:rsid w:val="00075C97"/>
    <w:rsid w:val="00075CBB"/>
    <w:rsid w:val="00076481"/>
    <w:rsid w:val="0007679D"/>
    <w:rsid w:val="000767E2"/>
    <w:rsid w:val="00076AC3"/>
    <w:rsid w:val="00077317"/>
    <w:rsid w:val="00077579"/>
    <w:rsid w:val="00077B93"/>
    <w:rsid w:val="00077C41"/>
    <w:rsid w:val="00077EC4"/>
    <w:rsid w:val="000801A6"/>
    <w:rsid w:val="00080631"/>
    <w:rsid w:val="00080CA8"/>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472"/>
    <w:rsid w:val="000A1BB4"/>
    <w:rsid w:val="000A2A00"/>
    <w:rsid w:val="000A3528"/>
    <w:rsid w:val="000A35E8"/>
    <w:rsid w:val="000A5D87"/>
    <w:rsid w:val="000A671C"/>
    <w:rsid w:val="000A6744"/>
    <w:rsid w:val="000A6F6E"/>
    <w:rsid w:val="000A6FFD"/>
    <w:rsid w:val="000B0579"/>
    <w:rsid w:val="000B067F"/>
    <w:rsid w:val="000B0723"/>
    <w:rsid w:val="000B0CAC"/>
    <w:rsid w:val="000B13EF"/>
    <w:rsid w:val="000B191E"/>
    <w:rsid w:val="000B26B5"/>
    <w:rsid w:val="000B2796"/>
    <w:rsid w:val="000B2E03"/>
    <w:rsid w:val="000B41FC"/>
    <w:rsid w:val="000B5CDB"/>
    <w:rsid w:val="000B669B"/>
    <w:rsid w:val="000B6EB3"/>
    <w:rsid w:val="000C097F"/>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D6874"/>
    <w:rsid w:val="000E04FD"/>
    <w:rsid w:val="000E1539"/>
    <w:rsid w:val="000E2228"/>
    <w:rsid w:val="000E2E71"/>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2CA"/>
    <w:rsid w:val="00103F01"/>
    <w:rsid w:val="00104B30"/>
    <w:rsid w:val="0010583B"/>
    <w:rsid w:val="0010610E"/>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69C"/>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49E7"/>
    <w:rsid w:val="0016625F"/>
    <w:rsid w:val="0016646D"/>
    <w:rsid w:val="00166D9A"/>
    <w:rsid w:val="00167EF6"/>
    <w:rsid w:val="001710EF"/>
    <w:rsid w:val="001711EB"/>
    <w:rsid w:val="00172064"/>
    <w:rsid w:val="0017312F"/>
    <w:rsid w:val="00173B01"/>
    <w:rsid w:val="001748B9"/>
    <w:rsid w:val="001750B6"/>
    <w:rsid w:val="001756B0"/>
    <w:rsid w:val="0017577B"/>
    <w:rsid w:val="00175E6D"/>
    <w:rsid w:val="00176083"/>
    <w:rsid w:val="0017645D"/>
    <w:rsid w:val="001771CA"/>
    <w:rsid w:val="001775CB"/>
    <w:rsid w:val="00177911"/>
    <w:rsid w:val="00177A7E"/>
    <w:rsid w:val="00180791"/>
    <w:rsid w:val="00180823"/>
    <w:rsid w:val="00181B52"/>
    <w:rsid w:val="00181B6D"/>
    <w:rsid w:val="00182678"/>
    <w:rsid w:val="00183F6E"/>
    <w:rsid w:val="00185167"/>
    <w:rsid w:val="00186646"/>
    <w:rsid w:val="0018697B"/>
    <w:rsid w:val="00186C62"/>
    <w:rsid w:val="00186FEB"/>
    <w:rsid w:val="00187184"/>
    <w:rsid w:val="0018728A"/>
    <w:rsid w:val="00187B43"/>
    <w:rsid w:val="001911C8"/>
    <w:rsid w:val="0019170F"/>
    <w:rsid w:val="001924A2"/>
    <w:rsid w:val="001929DE"/>
    <w:rsid w:val="001934A4"/>
    <w:rsid w:val="00193638"/>
    <w:rsid w:val="00194ED7"/>
    <w:rsid w:val="001952D3"/>
    <w:rsid w:val="001960BA"/>
    <w:rsid w:val="001974E5"/>
    <w:rsid w:val="00197985"/>
    <w:rsid w:val="00197C5A"/>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B676A"/>
    <w:rsid w:val="001B7C61"/>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C40"/>
    <w:rsid w:val="001D1EF7"/>
    <w:rsid w:val="001D289C"/>
    <w:rsid w:val="001D3168"/>
    <w:rsid w:val="001D4001"/>
    <w:rsid w:val="001D47C5"/>
    <w:rsid w:val="001D4A9B"/>
    <w:rsid w:val="001D4AFF"/>
    <w:rsid w:val="001D50FF"/>
    <w:rsid w:val="001D52E3"/>
    <w:rsid w:val="001D53FE"/>
    <w:rsid w:val="001D5975"/>
    <w:rsid w:val="001D5D88"/>
    <w:rsid w:val="001D6A60"/>
    <w:rsid w:val="001D794F"/>
    <w:rsid w:val="001D7D52"/>
    <w:rsid w:val="001E2820"/>
    <w:rsid w:val="001E3194"/>
    <w:rsid w:val="001E3B26"/>
    <w:rsid w:val="001E431B"/>
    <w:rsid w:val="001E4559"/>
    <w:rsid w:val="001E4938"/>
    <w:rsid w:val="001E4DFE"/>
    <w:rsid w:val="001E62BA"/>
    <w:rsid w:val="001E7105"/>
    <w:rsid w:val="001E7148"/>
    <w:rsid w:val="001E793E"/>
    <w:rsid w:val="001E7D2E"/>
    <w:rsid w:val="001F01BD"/>
    <w:rsid w:val="001F0257"/>
    <w:rsid w:val="001F0AE9"/>
    <w:rsid w:val="001F1887"/>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2CF5"/>
    <w:rsid w:val="00203867"/>
    <w:rsid w:val="00203C16"/>
    <w:rsid w:val="00204233"/>
    <w:rsid w:val="0020432C"/>
    <w:rsid w:val="00204776"/>
    <w:rsid w:val="00204BF1"/>
    <w:rsid w:val="00204F05"/>
    <w:rsid w:val="002053C9"/>
    <w:rsid w:val="00205F22"/>
    <w:rsid w:val="00206482"/>
    <w:rsid w:val="0020739F"/>
    <w:rsid w:val="002079E5"/>
    <w:rsid w:val="00207B8C"/>
    <w:rsid w:val="002105E8"/>
    <w:rsid w:val="00210D75"/>
    <w:rsid w:val="0021105D"/>
    <w:rsid w:val="002112CA"/>
    <w:rsid w:val="002118E4"/>
    <w:rsid w:val="00211D6D"/>
    <w:rsid w:val="00212036"/>
    <w:rsid w:val="00212145"/>
    <w:rsid w:val="0021361B"/>
    <w:rsid w:val="00213893"/>
    <w:rsid w:val="002143A4"/>
    <w:rsid w:val="0021483B"/>
    <w:rsid w:val="00214864"/>
    <w:rsid w:val="00216109"/>
    <w:rsid w:val="0021671B"/>
    <w:rsid w:val="00216DE2"/>
    <w:rsid w:val="00216EE4"/>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0F60"/>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53"/>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1BD2"/>
    <w:rsid w:val="00282957"/>
    <w:rsid w:val="002830F1"/>
    <w:rsid w:val="0028420B"/>
    <w:rsid w:val="00284560"/>
    <w:rsid w:val="002845CF"/>
    <w:rsid w:val="00286230"/>
    <w:rsid w:val="00286A28"/>
    <w:rsid w:val="00286B64"/>
    <w:rsid w:val="002870BD"/>
    <w:rsid w:val="00287462"/>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53"/>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432"/>
    <w:rsid w:val="002B1FE4"/>
    <w:rsid w:val="002B22DF"/>
    <w:rsid w:val="002B2C43"/>
    <w:rsid w:val="002B2F40"/>
    <w:rsid w:val="002B4A49"/>
    <w:rsid w:val="002B511F"/>
    <w:rsid w:val="002B5EF6"/>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7A8"/>
    <w:rsid w:val="002D39E7"/>
    <w:rsid w:val="002D3B61"/>
    <w:rsid w:val="002D3CDD"/>
    <w:rsid w:val="002D3FCE"/>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4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6F1B"/>
    <w:rsid w:val="00307109"/>
    <w:rsid w:val="0030747F"/>
    <w:rsid w:val="00307F55"/>
    <w:rsid w:val="00310311"/>
    <w:rsid w:val="00310BA4"/>
    <w:rsid w:val="00310EEF"/>
    <w:rsid w:val="003115D3"/>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726"/>
    <w:rsid w:val="00333D83"/>
    <w:rsid w:val="00333FC7"/>
    <w:rsid w:val="0033485D"/>
    <w:rsid w:val="00334F7D"/>
    <w:rsid w:val="0033532D"/>
    <w:rsid w:val="00335970"/>
    <w:rsid w:val="00335EF5"/>
    <w:rsid w:val="003363B6"/>
    <w:rsid w:val="003368FC"/>
    <w:rsid w:val="00336C1F"/>
    <w:rsid w:val="00336F07"/>
    <w:rsid w:val="00337100"/>
    <w:rsid w:val="0033775E"/>
    <w:rsid w:val="0034010D"/>
    <w:rsid w:val="00340E2F"/>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0F4"/>
    <w:rsid w:val="00361AAE"/>
    <w:rsid w:val="003630B6"/>
    <w:rsid w:val="00363EBD"/>
    <w:rsid w:val="003644E3"/>
    <w:rsid w:val="00364FA7"/>
    <w:rsid w:val="00365641"/>
    <w:rsid w:val="00365836"/>
    <w:rsid w:val="00365D92"/>
    <w:rsid w:val="00366177"/>
    <w:rsid w:val="00367155"/>
    <w:rsid w:val="0036742A"/>
    <w:rsid w:val="00367BC2"/>
    <w:rsid w:val="00370997"/>
    <w:rsid w:val="003709B2"/>
    <w:rsid w:val="003712A4"/>
    <w:rsid w:val="00373A9E"/>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6CB0"/>
    <w:rsid w:val="003974C7"/>
    <w:rsid w:val="0039771E"/>
    <w:rsid w:val="003A2CCF"/>
    <w:rsid w:val="003A2E91"/>
    <w:rsid w:val="003A32C5"/>
    <w:rsid w:val="003A3A89"/>
    <w:rsid w:val="003A3BC7"/>
    <w:rsid w:val="003A45FE"/>
    <w:rsid w:val="003A598D"/>
    <w:rsid w:val="003A5A9A"/>
    <w:rsid w:val="003A5D93"/>
    <w:rsid w:val="003A5E51"/>
    <w:rsid w:val="003A613E"/>
    <w:rsid w:val="003A7035"/>
    <w:rsid w:val="003A7386"/>
    <w:rsid w:val="003A7DB8"/>
    <w:rsid w:val="003B04EC"/>
    <w:rsid w:val="003B0CDB"/>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45C3"/>
    <w:rsid w:val="003F5363"/>
    <w:rsid w:val="003F5686"/>
    <w:rsid w:val="003F5AEF"/>
    <w:rsid w:val="003F5FA6"/>
    <w:rsid w:val="003F63DA"/>
    <w:rsid w:val="003F674A"/>
    <w:rsid w:val="003F6ABC"/>
    <w:rsid w:val="003F6F04"/>
    <w:rsid w:val="00400427"/>
    <w:rsid w:val="00401C1B"/>
    <w:rsid w:val="0040226A"/>
    <w:rsid w:val="00402564"/>
    <w:rsid w:val="004030BD"/>
    <w:rsid w:val="00403BE8"/>
    <w:rsid w:val="00403E7A"/>
    <w:rsid w:val="0040450C"/>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6C2D"/>
    <w:rsid w:val="004172E5"/>
    <w:rsid w:val="004177B5"/>
    <w:rsid w:val="004206BE"/>
    <w:rsid w:val="00421351"/>
    <w:rsid w:val="00421449"/>
    <w:rsid w:val="00421864"/>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669"/>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6DF"/>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4AD"/>
    <w:rsid w:val="00461562"/>
    <w:rsid w:val="00462069"/>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302"/>
    <w:rsid w:val="00475322"/>
    <w:rsid w:val="00475E0A"/>
    <w:rsid w:val="004760B4"/>
    <w:rsid w:val="00476105"/>
    <w:rsid w:val="004762A6"/>
    <w:rsid w:val="00476322"/>
    <w:rsid w:val="00477C95"/>
    <w:rsid w:val="004804A8"/>
    <w:rsid w:val="004805E0"/>
    <w:rsid w:val="00480818"/>
    <w:rsid w:val="00481DB5"/>
    <w:rsid w:val="00482506"/>
    <w:rsid w:val="0048291C"/>
    <w:rsid w:val="00482E45"/>
    <w:rsid w:val="00483816"/>
    <w:rsid w:val="00483CEF"/>
    <w:rsid w:val="0048433C"/>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388E"/>
    <w:rsid w:val="004A40BA"/>
    <w:rsid w:val="004A5001"/>
    <w:rsid w:val="004A52DB"/>
    <w:rsid w:val="004A5520"/>
    <w:rsid w:val="004A6CEC"/>
    <w:rsid w:val="004A7870"/>
    <w:rsid w:val="004B0992"/>
    <w:rsid w:val="004B305D"/>
    <w:rsid w:val="004B3D98"/>
    <w:rsid w:val="004B4FF8"/>
    <w:rsid w:val="004B5922"/>
    <w:rsid w:val="004B5BAB"/>
    <w:rsid w:val="004B5CD0"/>
    <w:rsid w:val="004B5F4E"/>
    <w:rsid w:val="004B7A73"/>
    <w:rsid w:val="004C01BC"/>
    <w:rsid w:val="004C1151"/>
    <w:rsid w:val="004C2762"/>
    <w:rsid w:val="004C279D"/>
    <w:rsid w:val="004C2932"/>
    <w:rsid w:val="004C4F98"/>
    <w:rsid w:val="004C67A5"/>
    <w:rsid w:val="004C6CCC"/>
    <w:rsid w:val="004C758B"/>
    <w:rsid w:val="004D1914"/>
    <w:rsid w:val="004D1D63"/>
    <w:rsid w:val="004D2014"/>
    <w:rsid w:val="004D2667"/>
    <w:rsid w:val="004D3B21"/>
    <w:rsid w:val="004D498C"/>
    <w:rsid w:val="004D5DB3"/>
    <w:rsid w:val="004D71CD"/>
    <w:rsid w:val="004E1735"/>
    <w:rsid w:val="004E22DA"/>
    <w:rsid w:val="004E28B9"/>
    <w:rsid w:val="004E2BA0"/>
    <w:rsid w:val="004E3D8E"/>
    <w:rsid w:val="004E442F"/>
    <w:rsid w:val="004E4A9C"/>
    <w:rsid w:val="004E4BFE"/>
    <w:rsid w:val="004E4E7F"/>
    <w:rsid w:val="004E4F38"/>
    <w:rsid w:val="004E4FE1"/>
    <w:rsid w:val="004E541A"/>
    <w:rsid w:val="004E5598"/>
    <w:rsid w:val="004E5C95"/>
    <w:rsid w:val="004E66E4"/>
    <w:rsid w:val="004E67B1"/>
    <w:rsid w:val="004E69CE"/>
    <w:rsid w:val="004E6CA6"/>
    <w:rsid w:val="004E6F3E"/>
    <w:rsid w:val="004E7058"/>
    <w:rsid w:val="004E76CE"/>
    <w:rsid w:val="004F1394"/>
    <w:rsid w:val="004F1803"/>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072DC"/>
    <w:rsid w:val="005078A8"/>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36D"/>
    <w:rsid w:val="00545697"/>
    <w:rsid w:val="0054619C"/>
    <w:rsid w:val="005461BB"/>
    <w:rsid w:val="00546C5E"/>
    <w:rsid w:val="0054718F"/>
    <w:rsid w:val="005473FC"/>
    <w:rsid w:val="00547AB3"/>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1985"/>
    <w:rsid w:val="00561A45"/>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3B39"/>
    <w:rsid w:val="00584835"/>
    <w:rsid w:val="00585424"/>
    <w:rsid w:val="00585691"/>
    <w:rsid w:val="0058643D"/>
    <w:rsid w:val="00586CFF"/>
    <w:rsid w:val="00587425"/>
    <w:rsid w:val="00587CCD"/>
    <w:rsid w:val="00587E0A"/>
    <w:rsid w:val="005906E9"/>
    <w:rsid w:val="0059211E"/>
    <w:rsid w:val="00593229"/>
    <w:rsid w:val="00593525"/>
    <w:rsid w:val="00593DC4"/>
    <w:rsid w:val="00594643"/>
    <w:rsid w:val="0059505F"/>
    <w:rsid w:val="00595290"/>
    <w:rsid w:val="005959EC"/>
    <w:rsid w:val="00595E05"/>
    <w:rsid w:val="00596068"/>
    <w:rsid w:val="005A001D"/>
    <w:rsid w:val="005A0E2C"/>
    <w:rsid w:val="005A217E"/>
    <w:rsid w:val="005A2879"/>
    <w:rsid w:val="005A37FD"/>
    <w:rsid w:val="005A3A26"/>
    <w:rsid w:val="005A470B"/>
    <w:rsid w:val="005A49C4"/>
    <w:rsid w:val="005A4C73"/>
    <w:rsid w:val="005A4F45"/>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BB7"/>
    <w:rsid w:val="005B4CC0"/>
    <w:rsid w:val="005B5D07"/>
    <w:rsid w:val="005B70D0"/>
    <w:rsid w:val="005C0570"/>
    <w:rsid w:val="005C0B92"/>
    <w:rsid w:val="005C15B6"/>
    <w:rsid w:val="005C2C83"/>
    <w:rsid w:val="005C3A79"/>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5F5C"/>
    <w:rsid w:val="005D6524"/>
    <w:rsid w:val="005D65EE"/>
    <w:rsid w:val="005E01D1"/>
    <w:rsid w:val="005E0941"/>
    <w:rsid w:val="005E107A"/>
    <w:rsid w:val="005E10A5"/>
    <w:rsid w:val="005E1FA9"/>
    <w:rsid w:val="005E2575"/>
    <w:rsid w:val="005E2961"/>
    <w:rsid w:val="005E2A25"/>
    <w:rsid w:val="005E3734"/>
    <w:rsid w:val="005E3E2F"/>
    <w:rsid w:val="005E3F85"/>
    <w:rsid w:val="005E423D"/>
    <w:rsid w:val="005E4438"/>
    <w:rsid w:val="005E4C8F"/>
    <w:rsid w:val="005E547E"/>
    <w:rsid w:val="005E5C1C"/>
    <w:rsid w:val="005E5E8B"/>
    <w:rsid w:val="005E600A"/>
    <w:rsid w:val="005E673D"/>
    <w:rsid w:val="005E6997"/>
    <w:rsid w:val="005E6D63"/>
    <w:rsid w:val="005E6E6D"/>
    <w:rsid w:val="005E7715"/>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084D"/>
    <w:rsid w:val="00601186"/>
    <w:rsid w:val="006014EA"/>
    <w:rsid w:val="00601D40"/>
    <w:rsid w:val="00601DF4"/>
    <w:rsid w:val="00602458"/>
    <w:rsid w:val="006024B1"/>
    <w:rsid w:val="006033F0"/>
    <w:rsid w:val="006043D8"/>
    <w:rsid w:val="00604EDE"/>
    <w:rsid w:val="00604F7B"/>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5FA7"/>
    <w:rsid w:val="00676B51"/>
    <w:rsid w:val="00676C99"/>
    <w:rsid w:val="00677041"/>
    <w:rsid w:val="006771D6"/>
    <w:rsid w:val="00677A20"/>
    <w:rsid w:val="00677EB2"/>
    <w:rsid w:val="00677F86"/>
    <w:rsid w:val="0068047D"/>
    <w:rsid w:val="0068125C"/>
    <w:rsid w:val="00683316"/>
    <w:rsid w:val="00683943"/>
    <w:rsid w:val="00683AAC"/>
    <w:rsid w:val="00683E23"/>
    <w:rsid w:val="006840FA"/>
    <w:rsid w:val="00684205"/>
    <w:rsid w:val="00684251"/>
    <w:rsid w:val="0068434C"/>
    <w:rsid w:val="00684459"/>
    <w:rsid w:val="00684808"/>
    <w:rsid w:val="006853B8"/>
    <w:rsid w:val="00685498"/>
    <w:rsid w:val="0068594D"/>
    <w:rsid w:val="00685C74"/>
    <w:rsid w:val="00686159"/>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97B7D"/>
    <w:rsid w:val="006A0BA5"/>
    <w:rsid w:val="006A318C"/>
    <w:rsid w:val="006A37C1"/>
    <w:rsid w:val="006A422A"/>
    <w:rsid w:val="006A4272"/>
    <w:rsid w:val="006A455A"/>
    <w:rsid w:val="006A4C47"/>
    <w:rsid w:val="006A647C"/>
    <w:rsid w:val="006A64CC"/>
    <w:rsid w:val="006A6884"/>
    <w:rsid w:val="006A7561"/>
    <w:rsid w:val="006A791C"/>
    <w:rsid w:val="006A7E5A"/>
    <w:rsid w:val="006A7F9C"/>
    <w:rsid w:val="006B2EF2"/>
    <w:rsid w:val="006B3399"/>
    <w:rsid w:val="006B3506"/>
    <w:rsid w:val="006B4211"/>
    <w:rsid w:val="006B5AFC"/>
    <w:rsid w:val="006B5D6F"/>
    <w:rsid w:val="006B5FC7"/>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D7C17"/>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0"/>
    <w:rsid w:val="006F4699"/>
    <w:rsid w:val="006F4B1F"/>
    <w:rsid w:val="006F4C42"/>
    <w:rsid w:val="006F4D6D"/>
    <w:rsid w:val="006F4F37"/>
    <w:rsid w:val="006F5493"/>
    <w:rsid w:val="006F5598"/>
    <w:rsid w:val="006F6042"/>
    <w:rsid w:val="006F6070"/>
    <w:rsid w:val="006F65E9"/>
    <w:rsid w:val="006F7353"/>
    <w:rsid w:val="006F73D2"/>
    <w:rsid w:val="006F74CE"/>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B89"/>
    <w:rsid w:val="00714EEF"/>
    <w:rsid w:val="007150A0"/>
    <w:rsid w:val="0071581D"/>
    <w:rsid w:val="007169DB"/>
    <w:rsid w:val="007177BF"/>
    <w:rsid w:val="00717F38"/>
    <w:rsid w:val="00720AFE"/>
    <w:rsid w:val="00720F58"/>
    <w:rsid w:val="00723881"/>
    <w:rsid w:val="00725339"/>
    <w:rsid w:val="0072702A"/>
    <w:rsid w:val="00731047"/>
    <w:rsid w:val="00731866"/>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575"/>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09D"/>
    <w:rsid w:val="00777295"/>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81"/>
    <w:rsid w:val="0078749A"/>
    <w:rsid w:val="00787524"/>
    <w:rsid w:val="007875AC"/>
    <w:rsid w:val="00787E1F"/>
    <w:rsid w:val="0079058D"/>
    <w:rsid w:val="00790B6C"/>
    <w:rsid w:val="007912A7"/>
    <w:rsid w:val="00792412"/>
    <w:rsid w:val="00792C0C"/>
    <w:rsid w:val="00794E72"/>
    <w:rsid w:val="007959E4"/>
    <w:rsid w:val="0079606C"/>
    <w:rsid w:val="007963AD"/>
    <w:rsid w:val="007967E0"/>
    <w:rsid w:val="00796D43"/>
    <w:rsid w:val="0079740C"/>
    <w:rsid w:val="007975D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4F20"/>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2D90"/>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36D5"/>
    <w:rsid w:val="00804C1F"/>
    <w:rsid w:val="00805874"/>
    <w:rsid w:val="00805ADB"/>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829"/>
    <w:rsid w:val="00817A84"/>
    <w:rsid w:val="00821749"/>
    <w:rsid w:val="008223EF"/>
    <w:rsid w:val="0082358B"/>
    <w:rsid w:val="008235E4"/>
    <w:rsid w:val="0082374E"/>
    <w:rsid w:val="00823973"/>
    <w:rsid w:val="00825CCF"/>
    <w:rsid w:val="00826FFF"/>
    <w:rsid w:val="0082711B"/>
    <w:rsid w:val="0082718C"/>
    <w:rsid w:val="00827826"/>
    <w:rsid w:val="00830D56"/>
    <w:rsid w:val="008326C8"/>
    <w:rsid w:val="00832737"/>
    <w:rsid w:val="008330D7"/>
    <w:rsid w:val="008338E6"/>
    <w:rsid w:val="00834827"/>
    <w:rsid w:val="00834902"/>
    <w:rsid w:val="00835FEE"/>
    <w:rsid w:val="0083691C"/>
    <w:rsid w:val="00837966"/>
    <w:rsid w:val="00840437"/>
    <w:rsid w:val="00842529"/>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5739C"/>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690"/>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295"/>
    <w:rsid w:val="008A13F9"/>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728"/>
    <w:rsid w:val="008B387E"/>
    <w:rsid w:val="008B3D11"/>
    <w:rsid w:val="008B43D2"/>
    <w:rsid w:val="008B4E44"/>
    <w:rsid w:val="008B5534"/>
    <w:rsid w:val="008B60F6"/>
    <w:rsid w:val="008B636A"/>
    <w:rsid w:val="008B656D"/>
    <w:rsid w:val="008B6DB9"/>
    <w:rsid w:val="008B7821"/>
    <w:rsid w:val="008C0442"/>
    <w:rsid w:val="008C078A"/>
    <w:rsid w:val="008C0C81"/>
    <w:rsid w:val="008C2241"/>
    <w:rsid w:val="008C247A"/>
    <w:rsid w:val="008C2693"/>
    <w:rsid w:val="008C48A3"/>
    <w:rsid w:val="008C5F9C"/>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30F"/>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161"/>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6BE"/>
    <w:rsid w:val="00924EF1"/>
    <w:rsid w:val="009258C6"/>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3A14"/>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9D"/>
    <w:rsid w:val="00965ACE"/>
    <w:rsid w:val="00965DF5"/>
    <w:rsid w:val="009662D1"/>
    <w:rsid w:val="0096631E"/>
    <w:rsid w:val="0097191D"/>
    <w:rsid w:val="00971B93"/>
    <w:rsid w:val="00973024"/>
    <w:rsid w:val="00973366"/>
    <w:rsid w:val="00974283"/>
    <w:rsid w:val="00974EC3"/>
    <w:rsid w:val="0097526B"/>
    <w:rsid w:val="00977AEF"/>
    <w:rsid w:val="009801C8"/>
    <w:rsid w:val="00980DD7"/>
    <w:rsid w:val="00981E0B"/>
    <w:rsid w:val="009823A6"/>
    <w:rsid w:val="0098247B"/>
    <w:rsid w:val="009831BD"/>
    <w:rsid w:val="009833EA"/>
    <w:rsid w:val="00983608"/>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E3B"/>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248"/>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AEC"/>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2EBB"/>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820"/>
    <w:rsid w:val="00A36B7E"/>
    <w:rsid w:val="00A37638"/>
    <w:rsid w:val="00A376E2"/>
    <w:rsid w:val="00A37A83"/>
    <w:rsid w:val="00A37CEA"/>
    <w:rsid w:val="00A37F67"/>
    <w:rsid w:val="00A404BE"/>
    <w:rsid w:val="00A40811"/>
    <w:rsid w:val="00A40C9B"/>
    <w:rsid w:val="00A41D79"/>
    <w:rsid w:val="00A42A11"/>
    <w:rsid w:val="00A433F1"/>
    <w:rsid w:val="00A43645"/>
    <w:rsid w:val="00A43B88"/>
    <w:rsid w:val="00A447A5"/>
    <w:rsid w:val="00A44D3F"/>
    <w:rsid w:val="00A454DF"/>
    <w:rsid w:val="00A45A2A"/>
    <w:rsid w:val="00A469D5"/>
    <w:rsid w:val="00A46C57"/>
    <w:rsid w:val="00A4793D"/>
    <w:rsid w:val="00A47B55"/>
    <w:rsid w:val="00A50D0C"/>
    <w:rsid w:val="00A511F6"/>
    <w:rsid w:val="00A5254B"/>
    <w:rsid w:val="00A52C02"/>
    <w:rsid w:val="00A536BA"/>
    <w:rsid w:val="00A54C04"/>
    <w:rsid w:val="00A55926"/>
    <w:rsid w:val="00A55D8A"/>
    <w:rsid w:val="00A56CE5"/>
    <w:rsid w:val="00A605E8"/>
    <w:rsid w:val="00A6296C"/>
    <w:rsid w:val="00A62EDA"/>
    <w:rsid w:val="00A63F76"/>
    <w:rsid w:val="00A641BC"/>
    <w:rsid w:val="00A64677"/>
    <w:rsid w:val="00A64C68"/>
    <w:rsid w:val="00A65361"/>
    <w:rsid w:val="00A65E6B"/>
    <w:rsid w:val="00A666A1"/>
    <w:rsid w:val="00A667A4"/>
    <w:rsid w:val="00A71AA8"/>
    <w:rsid w:val="00A71EFD"/>
    <w:rsid w:val="00A7274B"/>
    <w:rsid w:val="00A7299D"/>
    <w:rsid w:val="00A7314E"/>
    <w:rsid w:val="00A73233"/>
    <w:rsid w:val="00A736CC"/>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1FF"/>
    <w:rsid w:val="00A906FE"/>
    <w:rsid w:val="00A90AB4"/>
    <w:rsid w:val="00A91EE7"/>
    <w:rsid w:val="00A91F2F"/>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1897"/>
    <w:rsid w:val="00AB19FF"/>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3CCC"/>
    <w:rsid w:val="00AC4222"/>
    <w:rsid w:val="00AC5266"/>
    <w:rsid w:val="00AC56DC"/>
    <w:rsid w:val="00AC680D"/>
    <w:rsid w:val="00AC763D"/>
    <w:rsid w:val="00AC7932"/>
    <w:rsid w:val="00AD02CB"/>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1EE6"/>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888"/>
    <w:rsid w:val="00B15BD8"/>
    <w:rsid w:val="00B16067"/>
    <w:rsid w:val="00B16D3E"/>
    <w:rsid w:val="00B177B1"/>
    <w:rsid w:val="00B17C03"/>
    <w:rsid w:val="00B2047B"/>
    <w:rsid w:val="00B2161D"/>
    <w:rsid w:val="00B21C6B"/>
    <w:rsid w:val="00B21EFF"/>
    <w:rsid w:val="00B24DDA"/>
    <w:rsid w:val="00B256B7"/>
    <w:rsid w:val="00B25CE2"/>
    <w:rsid w:val="00B26123"/>
    <w:rsid w:val="00B265C6"/>
    <w:rsid w:val="00B26968"/>
    <w:rsid w:val="00B27D8D"/>
    <w:rsid w:val="00B306A0"/>
    <w:rsid w:val="00B314D2"/>
    <w:rsid w:val="00B31CE3"/>
    <w:rsid w:val="00B327B0"/>
    <w:rsid w:val="00B333B4"/>
    <w:rsid w:val="00B348C0"/>
    <w:rsid w:val="00B35746"/>
    <w:rsid w:val="00B35821"/>
    <w:rsid w:val="00B35B27"/>
    <w:rsid w:val="00B362DF"/>
    <w:rsid w:val="00B36F0E"/>
    <w:rsid w:val="00B37DD9"/>
    <w:rsid w:val="00B405E0"/>
    <w:rsid w:val="00B42410"/>
    <w:rsid w:val="00B438D1"/>
    <w:rsid w:val="00B44C9F"/>
    <w:rsid w:val="00B45B2B"/>
    <w:rsid w:val="00B45F74"/>
    <w:rsid w:val="00B45F7C"/>
    <w:rsid w:val="00B45FC2"/>
    <w:rsid w:val="00B4646C"/>
    <w:rsid w:val="00B46917"/>
    <w:rsid w:val="00B4734F"/>
    <w:rsid w:val="00B52552"/>
    <w:rsid w:val="00B54585"/>
    <w:rsid w:val="00B552C2"/>
    <w:rsid w:val="00B5550A"/>
    <w:rsid w:val="00B55C6D"/>
    <w:rsid w:val="00B56919"/>
    <w:rsid w:val="00B57153"/>
    <w:rsid w:val="00B57801"/>
    <w:rsid w:val="00B57F2A"/>
    <w:rsid w:val="00B61058"/>
    <w:rsid w:val="00B613DE"/>
    <w:rsid w:val="00B617E9"/>
    <w:rsid w:val="00B619B0"/>
    <w:rsid w:val="00B61F8F"/>
    <w:rsid w:val="00B62549"/>
    <w:rsid w:val="00B63011"/>
    <w:rsid w:val="00B632E5"/>
    <w:rsid w:val="00B6387E"/>
    <w:rsid w:val="00B663AE"/>
    <w:rsid w:val="00B6680A"/>
    <w:rsid w:val="00B66915"/>
    <w:rsid w:val="00B67751"/>
    <w:rsid w:val="00B70834"/>
    <w:rsid w:val="00B70AF9"/>
    <w:rsid w:val="00B70ECD"/>
    <w:rsid w:val="00B70F12"/>
    <w:rsid w:val="00B720E3"/>
    <w:rsid w:val="00B72B67"/>
    <w:rsid w:val="00B73C44"/>
    <w:rsid w:val="00B741C1"/>
    <w:rsid w:val="00B744AE"/>
    <w:rsid w:val="00B7453E"/>
    <w:rsid w:val="00B74E22"/>
    <w:rsid w:val="00B74F1D"/>
    <w:rsid w:val="00B75963"/>
    <w:rsid w:val="00B75D4D"/>
    <w:rsid w:val="00B7673D"/>
    <w:rsid w:val="00B768EF"/>
    <w:rsid w:val="00B76D51"/>
    <w:rsid w:val="00B80153"/>
    <w:rsid w:val="00B80EED"/>
    <w:rsid w:val="00B829EE"/>
    <w:rsid w:val="00B82BC0"/>
    <w:rsid w:val="00B8339C"/>
    <w:rsid w:val="00B833B6"/>
    <w:rsid w:val="00B83C89"/>
    <w:rsid w:val="00B84CBE"/>
    <w:rsid w:val="00B8565F"/>
    <w:rsid w:val="00B868D8"/>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CE3"/>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51B"/>
    <w:rsid w:val="00BC27A7"/>
    <w:rsid w:val="00BC2BA8"/>
    <w:rsid w:val="00BC2EB9"/>
    <w:rsid w:val="00BC39BC"/>
    <w:rsid w:val="00BC439A"/>
    <w:rsid w:val="00BC45A9"/>
    <w:rsid w:val="00BC4FC9"/>
    <w:rsid w:val="00BC5262"/>
    <w:rsid w:val="00BC54EB"/>
    <w:rsid w:val="00BC5C0C"/>
    <w:rsid w:val="00BC6288"/>
    <w:rsid w:val="00BC628F"/>
    <w:rsid w:val="00BC688D"/>
    <w:rsid w:val="00BC750A"/>
    <w:rsid w:val="00BC7747"/>
    <w:rsid w:val="00BC7F5A"/>
    <w:rsid w:val="00BD08D8"/>
    <w:rsid w:val="00BD091E"/>
    <w:rsid w:val="00BD140D"/>
    <w:rsid w:val="00BD180B"/>
    <w:rsid w:val="00BD189A"/>
    <w:rsid w:val="00BD1BF4"/>
    <w:rsid w:val="00BD1EB1"/>
    <w:rsid w:val="00BD2789"/>
    <w:rsid w:val="00BD2965"/>
    <w:rsid w:val="00BD2AE8"/>
    <w:rsid w:val="00BD3234"/>
    <w:rsid w:val="00BD3ACE"/>
    <w:rsid w:val="00BD4037"/>
    <w:rsid w:val="00BD40A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01BD"/>
    <w:rsid w:val="00C01E57"/>
    <w:rsid w:val="00C02B62"/>
    <w:rsid w:val="00C03539"/>
    <w:rsid w:val="00C03903"/>
    <w:rsid w:val="00C03B45"/>
    <w:rsid w:val="00C045F7"/>
    <w:rsid w:val="00C05D0D"/>
    <w:rsid w:val="00C06AED"/>
    <w:rsid w:val="00C0725B"/>
    <w:rsid w:val="00C107B1"/>
    <w:rsid w:val="00C1106A"/>
    <w:rsid w:val="00C11126"/>
    <w:rsid w:val="00C12520"/>
    <w:rsid w:val="00C135E4"/>
    <w:rsid w:val="00C13856"/>
    <w:rsid w:val="00C13B20"/>
    <w:rsid w:val="00C14DE8"/>
    <w:rsid w:val="00C15E66"/>
    <w:rsid w:val="00C161FB"/>
    <w:rsid w:val="00C1737F"/>
    <w:rsid w:val="00C21D08"/>
    <w:rsid w:val="00C22235"/>
    <w:rsid w:val="00C22D53"/>
    <w:rsid w:val="00C2368C"/>
    <w:rsid w:val="00C23AD8"/>
    <w:rsid w:val="00C23CEA"/>
    <w:rsid w:val="00C2425A"/>
    <w:rsid w:val="00C24358"/>
    <w:rsid w:val="00C24DBE"/>
    <w:rsid w:val="00C25120"/>
    <w:rsid w:val="00C2518C"/>
    <w:rsid w:val="00C2530E"/>
    <w:rsid w:val="00C25BEF"/>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00"/>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2A0D"/>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4C0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3E2"/>
    <w:rsid w:val="00D2591F"/>
    <w:rsid w:val="00D25925"/>
    <w:rsid w:val="00D26062"/>
    <w:rsid w:val="00D260BF"/>
    <w:rsid w:val="00D2642B"/>
    <w:rsid w:val="00D268A8"/>
    <w:rsid w:val="00D27D34"/>
    <w:rsid w:val="00D30747"/>
    <w:rsid w:val="00D30B4B"/>
    <w:rsid w:val="00D3156C"/>
    <w:rsid w:val="00D3160D"/>
    <w:rsid w:val="00D31D2D"/>
    <w:rsid w:val="00D327FE"/>
    <w:rsid w:val="00D32916"/>
    <w:rsid w:val="00D33001"/>
    <w:rsid w:val="00D343C6"/>
    <w:rsid w:val="00D34887"/>
    <w:rsid w:val="00D349AB"/>
    <w:rsid w:val="00D35AF1"/>
    <w:rsid w:val="00D35FB7"/>
    <w:rsid w:val="00D35FB9"/>
    <w:rsid w:val="00D360E8"/>
    <w:rsid w:val="00D369E2"/>
    <w:rsid w:val="00D37358"/>
    <w:rsid w:val="00D37370"/>
    <w:rsid w:val="00D37FDC"/>
    <w:rsid w:val="00D409B6"/>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12A"/>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19E5"/>
    <w:rsid w:val="00DF3F89"/>
    <w:rsid w:val="00DF4638"/>
    <w:rsid w:val="00DF47E0"/>
    <w:rsid w:val="00DF49F3"/>
    <w:rsid w:val="00DF4CEA"/>
    <w:rsid w:val="00DF5255"/>
    <w:rsid w:val="00DF58C6"/>
    <w:rsid w:val="00DF5AE3"/>
    <w:rsid w:val="00DF6A69"/>
    <w:rsid w:val="00DF6AAC"/>
    <w:rsid w:val="00DF7A08"/>
    <w:rsid w:val="00E002C2"/>
    <w:rsid w:val="00E00AB4"/>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049"/>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CE8"/>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5FE"/>
    <w:rsid w:val="00E746AC"/>
    <w:rsid w:val="00E74CF5"/>
    <w:rsid w:val="00E75198"/>
    <w:rsid w:val="00E7561A"/>
    <w:rsid w:val="00E759E8"/>
    <w:rsid w:val="00E76878"/>
    <w:rsid w:val="00E76898"/>
    <w:rsid w:val="00E801A1"/>
    <w:rsid w:val="00E8040B"/>
    <w:rsid w:val="00E808EA"/>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202E"/>
    <w:rsid w:val="00EA39CE"/>
    <w:rsid w:val="00EA42A6"/>
    <w:rsid w:val="00EA4AB7"/>
    <w:rsid w:val="00EA60CF"/>
    <w:rsid w:val="00EA6263"/>
    <w:rsid w:val="00EA6278"/>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C9F"/>
    <w:rsid w:val="00EE2E74"/>
    <w:rsid w:val="00EE2F81"/>
    <w:rsid w:val="00EE35F1"/>
    <w:rsid w:val="00EE51D7"/>
    <w:rsid w:val="00EE5614"/>
    <w:rsid w:val="00EE563F"/>
    <w:rsid w:val="00EE5BD0"/>
    <w:rsid w:val="00EE6E5C"/>
    <w:rsid w:val="00EE7C54"/>
    <w:rsid w:val="00EE7C67"/>
    <w:rsid w:val="00EF0DD1"/>
    <w:rsid w:val="00EF13B5"/>
    <w:rsid w:val="00EF1CD1"/>
    <w:rsid w:val="00EF2133"/>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3B"/>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5DF8"/>
    <w:rsid w:val="00F173AB"/>
    <w:rsid w:val="00F179F3"/>
    <w:rsid w:val="00F17B9F"/>
    <w:rsid w:val="00F17FB3"/>
    <w:rsid w:val="00F20B16"/>
    <w:rsid w:val="00F2148B"/>
    <w:rsid w:val="00F21AEE"/>
    <w:rsid w:val="00F21FAE"/>
    <w:rsid w:val="00F258D3"/>
    <w:rsid w:val="00F26565"/>
    <w:rsid w:val="00F26876"/>
    <w:rsid w:val="00F30D52"/>
    <w:rsid w:val="00F30DBB"/>
    <w:rsid w:val="00F31315"/>
    <w:rsid w:val="00F31A47"/>
    <w:rsid w:val="00F31E1A"/>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2564"/>
    <w:rsid w:val="00F82B2F"/>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165D"/>
    <w:rsid w:val="00F92610"/>
    <w:rsid w:val="00F92AC6"/>
    <w:rsid w:val="00F93A76"/>
    <w:rsid w:val="00F95583"/>
    <w:rsid w:val="00F9596B"/>
    <w:rsid w:val="00F96A34"/>
    <w:rsid w:val="00F977CC"/>
    <w:rsid w:val="00F97893"/>
    <w:rsid w:val="00FA0350"/>
    <w:rsid w:val="00FA0D40"/>
    <w:rsid w:val="00FA11B6"/>
    <w:rsid w:val="00FA2243"/>
    <w:rsid w:val="00FA35E5"/>
    <w:rsid w:val="00FA3D55"/>
    <w:rsid w:val="00FA42CA"/>
    <w:rsid w:val="00FA4D5E"/>
    <w:rsid w:val="00FA4D71"/>
    <w:rsid w:val="00FA5709"/>
    <w:rsid w:val="00FA5926"/>
    <w:rsid w:val="00FA7A4F"/>
    <w:rsid w:val="00FB0923"/>
    <w:rsid w:val="00FB10FB"/>
    <w:rsid w:val="00FB1B28"/>
    <w:rsid w:val="00FB1E02"/>
    <w:rsid w:val="00FB2CEA"/>
    <w:rsid w:val="00FB2F1C"/>
    <w:rsid w:val="00FB32EE"/>
    <w:rsid w:val="00FB398F"/>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AEF"/>
    <w:rsid w:val="00FC7DD3"/>
    <w:rsid w:val="00FD0758"/>
    <w:rsid w:val="00FD1400"/>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503E"/>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0FF70F1"/>
    <w:rsid w:val="01F6741A"/>
    <w:rsid w:val="02CA17B0"/>
    <w:rsid w:val="07514382"/>
    <w:rsid w:val="0A9B7A49"/>
    <w:rsid w:val="16DA250D"/>
    <w:rsid w:val="19AE3232"/>
    <w:rsid w:val="1CDB295E"/>
    <w:rsid w:val="1D27424D"/>
    <w:rsid w:val="2AAC3290"/>
    <w:rsid w:val="2C973301"/>
    <w:rsid w:val="2DA1240D"/>
    <w:rsid w:val="35D124B4"/>
    <w:rsid w:val="4218340F"/>
    <w:rsid w:val="42D16588"/>
    <w:rsid w:val="432702BD"/>
    <w:rsid w:val="466E6841"/>
    <w:rsid w:val="47A30FA8"/>
    <w:rsid w:val="4FEC222F"/>
    <w:rsid w:val="5050648D"/>
    <w:rsid w:val="508E571F"/>
    <w:rsid w:val="51D236E3"/>
    <w:rsid w:val="54187143"/>
    <w:rsid w:val="5C2E6F80"/>
    <w:rsid w:val="5D503026"/>
    <w:rsid w:val="5E4951BD"/>
    <w:rsid w:val="5E8D14D3"/>
    <w:rsid w:val="5EBD517B"/>
    <w:rsid w:val="5FA93E7F"/>
    <w:rsid w:val="617A0FD8"/>
    <w:rsid w:val="62C32E18"/>
    <w:rsid w:val="66A23E6B"/>
    <w:rsid w:val="6EF21F42"/>
    <w:rsid w:val="6FCE1CE3"/>
    <w:rsid w:val="72167370"/>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480"/>
      </w:tabs>
      <w:spacing w:line="400" w:lineRule="exact"/>
      <w:outlineLvl w:val="0"/>
    </w:pPr>
    <w:rPr>
      <w:b/>
      <w:sz w:val="30"/>
      <w:szCs w:val="20"/>
    </w:rPr>
  </w:style>
  <w:style w:type="paragraph" w:styleId="3">
    <w:name w:val="heading 2"/>
    <w:basedOn w:val="1"/>
    <w:next w:val="1"/>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qFormat/>
    <w:uiPriority w:val="0"/>
    <w:pPr>
      <w:tabs>
        <w:tab w:val="left" w:pos="851"/>
      </w:tabs>
      <w:spacing w:line="300" w:lineRule="auto"/>
      <w:outlineLvl w:val="2"/>
    </w:pPr>
    <w:rPr>
      <w:rFonts w:ascii="黑体" w:eastAsia="黑体"/>
      <w:sz w:val="24"/>
      <w:szCs w:val="20"/>
    </w:rPr>
  </w:style>
  <w:style w:type="paragraph" w:styleId="5">
    <w:name w:val="heading 4"/>
    <w:basedOn w:val="1"/>
    <w:next w:val="1"/>
    <w:qFormat/>
    <w:uiPriority w:val="0"/>
    <w:pPr>
      <w:spacing w:line="300" w:lineRule="auto"/>
      <w:outlineLvl w:val="3"/>
    </w:pPr>
    <w:rPr>
      <w:rFonts w:ascii="黑体" w:eastAsia="黑体"/>
      <w:sz w:val="24"/>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numPr>
        <w:ilvl w:val="0"/>
        <w:numId w:val="2"/>
      </w:numPr>
      <w:spacing w:line="360" w:lineRule="auto"/>
      <w:jc w:val="center"/>
      <w:outlineLvl w:val="5"/>
    </w:pPr>
    <w:rPr>
      <w:b/>
      <w:bCs/>
      <w:sz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00" w:hanging="200"/>
    </w:pPr>
    <w:rPr>
      <w:szCs w:val="20"/>
    </w:rPr>
  </w:style>
  <w:style w:type="paragraph" w:styleId="9">
    <w:name w:val="Normal Indent"/>
    <w:basedOn w:val="1"/>
    <w:qFormat/>
    <w:uiPriority w:val="0"/>
    <w:pPr>
      <w:ind w:firstLine="420" w:firstLineChars="200"/>
    </w:pPr>
    <w:rPr>
      <w:sz w:val="28"/>
      <w:szCs w:val="20"/>
    </w:rPr>
  </w:style>
  <w:style w:type="paragraph" w:styleId="10">
    <w:name w:val="caption"/>
    <w:basedOn w:val="1"/>
    <w:next w:val="1"/>
    <w:qFormat/>
    <w:uiPriority w:val="0"/>
    <w:pPr>
      <w:adjustRightInd w:val="0"/>
      <w:spacing w:before="152" w:after="160"/>
      <w:textAlignment w:val="baseline"/>
    </w:pPr>
    <w:rPr>
      <w:rFonts w:ascii="Arial" w:hAnsi="Arial" w:eastAsia="黑体"/>
      <w:szCs w:val="20"/>
    </w:rPr>
  </w:style>
  <w:style w:type="paragraph" w:styleId="11">
    <w:name w:val="Document Map"/>
    <w:basedOn w:val="1"/>
    <w:semiHidden/>
    <w:qFormat/>
    <w:uiPriority w:val="0"/>
    <w:pPr>
      <w:shd w:val="clear" w:color="auto" w:fill="000080"/>
    </w:pPr>
  </w:style>
  <w:style w:type="paragraph" w:styleId="12">
    <w:name w:val="annotation text"/>
    <w:basedOn w:val="1"/>
    <w:link w:val="35"/>
    <w:qFormat/>
    <w:uiPriority w:val="0"/>
    <w:pPr>
      <w:keepNext/>
      <w:spacing w:beforeLines="50" w:afterLines="50" w:line="360" w:lineRule="auto"/>
      <w:ind w:firstLine="200" w:firstLineChars="200"/>
    </w:pPr>
    <w:rPr>
      <w:rFonts w:eastAsia="仿宋_GB2312"/>
      <w:sz w:val="24"/>
      <w:szCs w:val="20"/>
      <w:lang w:eastAsia="zh-TW"/>
    </w:rPr>
  </w:style>
  <w:style w:type="paragraph" w:styleId="13">
    <w:name w:val="Body Text"/>
    <w:basedOn w:val="1"/>
    <w:qFormat/>
    <w:uiPriority w:val="0"/>
    <w:pPr>
      <w:spacing w:after="120"/>
    </w:pPr>
  </w:style>
  <w:style w:type="paragraph" w:styleId="14">
    <w:name w:val="Body Text Indent"/>
    <w:basedOn w:val="1"/>
    <w:qFormat/>
    <w:uiPriority w:val="0"/>
    <w:pPr>
      <w:spacing w:line="360" w:lineRule="exact"/>
      <w:ind w:firstLine="482"/>
    </w:pPr>
    <w:rPr>
      <w:sz w:val="24"/>
      <w:szCs w:val="20"/>
    </w:rPr>
  </w:style>
  <w:style w:type="paragraph" w:styleId="15">
    <w:name w:val="List 2"/>
    <w:basedOn w:val="1"/>
    <w:qFormat/>
    <w:uiPriority w:val="0"/>
    <w:pPr>
      <w:ind w:left="100" w:leftChars="200" w:hanging="200" w:hangingChars="200"/>
    </w:pPr>
  </w:style>
  <w:style w:type="paragraph" w:styleId="16">
    <w:name w:val="Plain Text"/>
    <w:basedOn w:val="1"/>
    <w:link w:val="36"/>
    <w:qFormat/>
    <w:uiPriority w:val="0"/>
    <w:rPr>
      <w:rFonts w:ascii="宋体" w:hAnsi="Courier New" w:cs="宋体"/>
      <w:szCs w:val="21"/>
    </w:rPr>
  </w:style>
  <w:style w:type="paragraph" w:styleId="17">
    <w:name w:val="Date"/>
    <w:basedOn w:val="1"/>
    <w:next w:val="1"/>
    <w:link w:val="37"/>
    <w:qFormat/>
    <w:uiPriority w:val="0"/>
    <w:rPr>
      <w:sz w:val="24"/>
      <w:szCs w:val="20"/>
    </w:rPr>
  </w:style>
  <w:style w:type="paragraph" w:styleId="18">
    <w:name w:val="Body Text Indent 2"/>
    <w:basedOn w:val="1"/>
    <w:link w:val="38"/>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39"/>
    <w:qFormat/>
    <w:uiPriority w:val="99"/>
    <w:pPr>
      <w:tabs>
        <w:tab w:val="center" w:pos="4153"/>
        <w:tab w:val="right" w:pos="8306"/>
      </w:tabs>
      <w:snapToGrid w:val="0"/>
      <w:jc w:val="left"/>
    </w:pPr>
    <w:rPr>
      <w:sz w:val="18"/>
      <w:szCs w:val="20"/>
    </w:rPr>
  </w:style>
  <w:style w:type="paragraph" w:styleId="21">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22">
    <w:name w:val="List 5"/>
    <w:basedOn w:val="1"/>
    <w:semiHidden/>
    <w:qFormat/>
    <w:uiPriority w:val="0"/>
    <w:pPr>
      <w:ind w:left="100" w:hanging="200"/>
    </w:pPr>
    <w:rPr>
      <w:szCs w:val="20"/>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unhideWhenUsed/>
    <w:qFormat/>
    <w:uiPriority w:val="39"/>
    <w:pPr>
      <w:ind w:left="210"/>
      <w:jc w:val="left"/>
    </w:pPr>
    <w:rPr>
      <w:rFonts w:asciiTheme="minorHAnsi" w:hAnsiTheme="minorHAnsi" w:eastAsiaTheme="minorEastAsia" w:cstheme="minorHAnsi"/>
      <w:smallCaps/>
      <w:sz w:val="20"/>
      <w:szCs w:val="20"/>
    </w:rPr>
  </w:style>
  <w:style w:type="paragraph" w:styleId="25">
    <w:name w:val="List 4"/>
    <w:basedOn w:val="1"/>
    <w:qFormat/>
    <w:uiPriority w:val="0"/>
    <w:pPr>
      <w:ind w:left="100" w:hanging="200"/>
    </w:pPr>
    <w:rPr>
      <w:szCs w:val="20"/>
    </w:rPr>
  </w:style>
  <w:style w:type="paragraph" w:styleId="26">
    <w:name w:val="Normal (Web)"/>
    <w:basedOn w:val="1"/>
    <w:link w:val="41"/>
    <w:qFormat/>
    <w:uiPriority w:val="0"/>
    <w:rPr>
      <w:sz w:val="24"/>
    </w:rPr>
  </w:style>
  <w:style w:type="paragraph" w:styleId="27">
    <w:name w:val="annotation subject"/>
    <w:basedOn w:val="12"/>
    <w:next w:val="12"/>
    <w:link w:val="42"/>
    <w:qFormat/>
    <w:uiPriority w:val="0"/>
    <w:pPr>
      <w:keepNext w:val="0"/>
      <w:spacing w:beforeLines="0" w:afterLines="0" w:line="240" w:lineRule="auto"/>
      <w:ind w:firstLine="0" w:firstLineChars="0"/>
      <w:jc w:val="left"/>
    </w:pPr>
    <w:rPr>
      <w:b/>
      <w:bCs/>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批注文字 Char"/>
    <w:link w:val="12"/>
    <w:qFormat/>
    <w:uiPriority w:val="0"/>
    <w:rPr>
      <w:rFonts w:eastAsia="仿宋_GB2312"/>
      <w:kern w:val="2"/>
      <w:sz w:val="24"/>
      <w:lang w:eastAsia="zh-TW"/>
    </w:rPr>
  </w:style>
  <w:style w:type="character" w:customStyle="1" w:styleId="36">
    <w:name w:val="纯文本 Char"/>
    <w:link w:val="16"/>
    <w:qFormat/>
    <w:locked/>
    <w:uiPriority w:val="0"/>
    <w:rPr>
      <w:rFonts w:ascii="宋体" w:hAnsi="Courier New" w:eastAsia="宋体" w:cs="宋体"/>
      <w:kern w:val="2"/>
      <w:sz w:val="21"/>
      <w:szCs w:val="21"/>
      <w:lang w:val="en-US" w:eastAsia="zh-CN" w:bidi="ar-SA"/>
    </w:rPr>
  </w:style>
  <w:style w:type="character" w:customStyle="1" w:styleId="37">
    <w:name w:val="日期 Char"/>
    <w:link w:val="17"/>
    <w:qFormat/>
    <w:uiPriority w:val="0"/>
    <w:rPr>
      <w:kern w:val="2"/>
      <w:sz w:val="24"/>
    </w:rPr>
  </w:style>
  <w:style w:type="character" w:customStyle="1" w:styleId="38">
    <w:name w:val="正文文本缩进 2 Char"/>
    <w:link w:val="18"/>
    <w:qFormat/>
    <w:uiPriority w:val="0"/>
    <w:rPr>
      <w:kern w:val="2"/>
      <w:sz w:val="21"/>
      <w:szCs w:val="24"/>
    </w:rPr>
  </w:style>
  <w:style w:type="character" w:customStyle="1" w:styleId="39">
    <w:name w:val="页脚 Char"/>
    <w:link w:val="20"/>
    <w:qFormat/>
    <w:uiPriority w:val="99"/>
    <w:rPr>
      <w:kern w:val="2"/>
      <w:sz w:val="18"/>
    </w:rPr>
  </w:style>
  <w:style w:type="character" w:customStyle="1" w:styleId="40">
    <w:name w:val="页眉 Char"/>
    <w:link w:val="21"/>
    <w:qFormat/>
    <w:uiPriority w:val="99"/>
    <w:rPr>
      <w:kern w:val="2"/>
      <w:sz w:val="18"/>
    </w:rPr>
  </w:style>
  <w:style w:type="character" w:customStyle="1" w:styleId="41">
    <w:name w:val="普通(网站) Char"/>
    <w:link w:val="26"/>
    <w:qFormat/>
    <w:uiPriority w:val="0"/>
    <w:rPr>
      <w:kern w:val="2"/>
      <w:sz w:val="24"/>
      <w:szCs w:val="24"/>
    </w:rPr>
  </w:style>
  <w:style w:type="character" w:customStyle="1" w:styleId="42">
    <w:name w:val="批注主题 Char"/>
    <w:link w:val="27"/>
    <w:qFormat/>
    <w:uiPriority w:val="0"/>
    <w:rPr>
      <w:rFonts w:eastAsia="仿宋_GB2312"/>
      <w:b/>
      <w:bCs/>
      <w:kern w:val="2"/>
      <w:sz w:val="21"/>
      <w:szCs w:val="24"/>
      <w:lang w:eastAsia="zh-TW"/>
    </w:rPr>
  </w:style>
  <w:style w:type="character" w:customStyle="1" w:styleId="43">
    <w:name w:val="访问过的超链接1"/>
    <w:qFormat/>
    <w:uiPriority w:val="0"/>
    <w:rPr>
      <w:color w:val="800080"/>
      <w:u w:val="single"/>
    </w:rPr>
  </w:style>
  <w:style w:type="paragraph" w:customStyle="1" w:styleId="44">
    <w:name w:val="1"/>
    <w:basedOn w:val="1"/>
    <w:next w:val="14"/>
    <w:qFormat/>
    <w:uiPriority w:val="0"/>
    <w:pPr>
      <w:ind w:firstLine="540" w:firstLineChars="225"/>
    </w:pPr>
    <w:rPr>
      <w:sz w:val="24"/>
    </w:rPr>
  </w:style>
  <w:style w:type="paragraph" w:customStyle="1" w:styleId="45">
    <w:name w:val="条第5级，后正文"/>
    <w:basedOn w:val="6"/>
    <w:qFormat/>
    <w:uiPriority w:val="0"/>
    <w:pPr>
      <w:keepNext w:val="0"/>
      <w:keepLines w:val="0"/>
      <w:tabs>
        <w:tab w:val="left" w:pos="1080"/>
        <w:tab w:val="left" w:pos="1361"/>
      </w:tabs>
      <w:spacing w:before="0" w:after="0" w:line="300" w:lineRule="auto"/>
    </w:pPr>
    <w:rPr>
      <w:rFonts w:ascii="宋体"/>
      <w:b w:val="0"/>
      <w:bCs w:val="0"/>
      <w:sz w:val="24"/>
      <w:szCs w:val="20"/>
    </w:rPr>
  </w:style>
  <w:style w:type="paragraph" w:customStyle="1" w:styleId="46">
    <w:name w:val="Char Char2 Char Char Char Char Char Char"/>
    <w:basedOn w:val="1"/>
    <w:qFormat/>
    <w:uiPriority w:val="0"/>
    <w:pPr>
      <w:spacing w:after="160" w:line="240" w:lineRule="exact"/>
    </w:pPr>
    <w:rPr>
      <w:rFonts w:ascii="Verdana" w:hAnsi="Verdana" w:cs="Verdana"/>
      <w:sz w:val="20"/>
      <w:szCs w:val="20"/>
      <w:lang w:eastAsia="en-US"/>
    </w:rPr>
  </w:style>
  <w:style w:type="paragraph" w:customStyle="1" w:styleId="47">
    <w:name w:val="Char Char Char (文字) (文字) Char (文字) (文字) Char Char Char (文字) (文字) Char Char Char Char Char Char Char Char Char"/>
    <w:basedOn w:val="1"/>
    <w:qFormat/>
    <w:uiPriority w:val="0"/>
    <w:pPr>
      <w:spacing w:after="160" w:line="240" w:lineRule="exact"/>
    </w:pPr>
    <w:rPr>
      <w:rFonts w:ascii="Verdana" w:hAnsi="Verdana" w:cs="Verdana"/>
      <w:color w:val="000000"/>
      <w:sz w:val="20"/>
      <w:szCs w:val="20"/>
      <w:lang w:eastAsia="en-US"/>
    </w:rPr>
  </w:style>
  <w:style w:type="paragraph" w:customStyle="1" w:styleId="48">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9">
    <w:name w:val="Char Char Char"/>
    <w:basedOn w:val="1"/>
    <w:qFormat/>
    <w:uiPriority w:val="0"/>
    <w:rPr>
      <w:rFonts w:ascii="Tahoma" w:hAnsi="Tahoma"/>
      <w:sz w:val="24"/>
      <w:szCs w:val="20"/>
    </w:rPr>
  </w:style>
  <w:style w:type="paragraph" w:customStyle="1" w:styleId="50">
    <w:name w:val="Char2"/>
    <w:basedOn w:val="11"/>
    <w:qFormat/>
    <w:uiPriority w:val="0"/>
    <w:pPr>
      <w:widowControl/>
      <w:ind w:firstLine="454"/>
      <w:jc w:val="left"/>
    </w:pPr>
    <w:rPr>
      <w:rFonts w:ascii="Tahoma" w:hAnsi="Tahoma" w:cs="宋体"/>
      <w:kern w:val="0"/>
      <w:szCs w:val="20"/>
    </w:rPr>
  </w:style>
  <w:style w:type="paragraph" w:customStyle="1" w:styleId="51">
    <w:name w:val="Char Char4 Char Char Char Char Char Char Char Char Char Char Char Char Char Char Char Char Char Char Char Char Char Char"/>
    <w:basedOn w:val="1"/>
    <w:qFormat/>
    <w:uiPriority w:val="0"/>
    <w:pPr>
      <w:tabs>
        <w:tab w:val="left" w:pos="1720"/>
      </w:tabs>
      <w:adjustRightInd w:val="0"/>
      <w:snapToGrid w:val="0"/>
      <w:ind w:left="1720" w:hanging="1080"/>
      <w:jc w:val="left"/>
    </w:pPr>
    <w:rPr>
      <w:rFonts w:eastAsia="黑体"/>
      <w:sz w:val="24"/>
    </w:rPr>
  </w:style>
  <w:style w:type="paragraph" w:customStyle="1" w:styleId="52">
    <w:name w:val="默认段落字体 Para Char Char Char Char Char Char Char Char Char1 Char Char Char Char Char Char Char"/>
    <w:basedOn w:val="11"/>
    <w:qFormat/>
    <w:uiPriority w:val="0"/>
    <w:rPr>
      <w:rFonts w:ascii="Tahoma" w:hAnsi="Tahoma"/>
      <w:sz w:val="24"/>
    </w:rPr>
  </w:style>
  <w:style w:type="paragraph" w:customStyle="1" w:styleId="53">
    <w:name w:val="Char Char Char Char"/>
    <w:basedOn w:val="1"/>
    <w:qFormat/>
    <w:uiPriority w:val="0"/>
    <w:pPr>
      <w:ind w:left="316" w:hanging="316"/>
    </w:pPr>
    <w:rPr>
      <w:rFonts w:ascii="Tahoma" w:hAnsi="Tahoma" w:cs="宋体"/>
      <w:kern w:val="0"/>
      <w:sz w:val="24"/>
      <w:szCs w:val="20"/>
    </w:rPr>
  </w:style>
  <w:style w:type="paragraph" w:customStyle="1" w:styleId="54">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5">
    <w:name w:val="Char Char Char Char Char Char Char4"/>
    <w:basedOn w:val="1"/>
    <w:qFormat/>
    <w:uiPriority w:val="0"/>
    <w:rPr>
      <w:rFonts w:ascii="Tahoma" w:hAnsi="Tahoma"/>
      <w:sz w:val="24"/>
    </w:rPr>
  </w:style>
  <w:style w:type="paragraph" w:customStyle="1" w:styleId="56">
    <w:name w:val="段"/>
    <w:link w:val="57"/>
    <w:qFormat/>
    <w:uiPriority w:val="0"/>
    <w:pPr>
      <w:widowControl w:val="0"/>
      <w:autoSpaceDE w:val="0"/>
      <w:autoSpaceDN w:val="0"/>
      <w:adjustRightInd w:val="0"/>
      <w:snapToGrid w:val="0"/>
      <w:spacing w:line="480" w:lineRule="exact"/>
      <w:ind w:left="10" w:leftChars="5" w:firstLine="502" w:firstLineChars="209"/>
      <w:jc w:val="both"/>
    </w:pPr>
    <w:rPr>
      <w:rFonts w:ascii="宋体" w:hAnsi="宋体" w:eastAsia="宋体" w:cs="Times New Roman"/>
      <w:color w:val="FF0000"/>
      <w:sz w:val="24"/>
      <w:szCs w:val="24"/>
      <w:lang w:val="en-US" w:eastAsia="zh-CN" w:bidi="ar-SA"/>
    </w:rPr>
  </w:style>
  <w:style w:type="character" w:customStyle="1" w:styleId="57">
    <w:name w:val="段 Char1"/>
    <w:link w:val="56"/>
    <w:qFormat/>
    <w:uiPriority w:val="0"/>
    <w:rPr>
      <w:rFonts w:ascii="宋体" w:hAnsi="宋体"/>
      <w:color w:val="FF0000"/>
      <w:sz w:val="24"/>
      <w:szCs w:val="24"/>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59">
    <w:name w:val="Char Char Char Char Char Char Char3"/>
    <w:basedOn w:val="1"/>
    <w:qFormat/>
    <w:uiPriority w:val="0"/>
    <w:rPr>
      <w:rFonts w:ascii="Tahoma" w:hAnsi="Tahoma"/>
      <w:sz w:val="24"/>
    </w:rPr>
  </w:style>
  <w:style w:type="paragraph" w:customStyle="1" w:styleId="60">
    <w:name w:val="列表段落"/>
    <w:basedOn w:val="1"/>
    <w:link w:val="61"/>
    <w:qFormat/>
    <w:uiPriority w:val="99"/>
    <w:pPr>
      <w:ind w:firstLine="420" w:firstLineChars="200"/>
    </w:pPr>
    <w:rPr>
      <w:rFonts w:ascii="Calibri" w:hAnsi="Calibri"/>
      <w:szCs w:val="22"/>
    </w:rPr>
  </w:style>
  <w:style w:type="character" w:customStyle="1" w:styleId="61">
    <w:name w:val="列表段落 字符"/>
    <w:link w:val="60"/>
    <w:qFormat/>
    <w:locked/>
    <w:uiPriority w:val="34"/>
    <w:rPr>
      <w:rFonts w:ascii="Calibri" w:hAnsi="Calibri"/>
      <w:kern w:val="2"/>
      <w:sz w:val="21"/>
      <w:szCs w:val="22"/>
    </w:rPr>
  </w:style>
  <w:style w:type="paragraph" w:customStyle="1" w:styleId="62">
    <w:name w:val="Char Char Char Char Char Char Char2"/>
    <w:basedOn w:val="1"/>
    <w:qFormat/>
    <w:uiPriority w:val="0"/>
    <w:rPr>
      <w:rFonts w:ascii="Tahoma" w:hAnsi="Tahoma"/>
      <w:sz w:val="24"/>
    </w:rPr>
  </w:style>
  <w:style w:type="character" w:customStyle="1" w:styleId="63">
    <w:name w:val="apple-converted-space"/>
    <w:qFormat/>
    <w:uiPriority w:val="0"/>
  </w:style>
  <w:style w:type="paragraph" w:customStyle="1" w:styleId="64">
    <w:name w:val="Char Char2 Char Char Char Char Char Char1"/>
    <w:basedOn w:val="1"/>
    <w:qFormat/>
    <w:uiPriority w:val="0"/>
    <w:pPr>
      <w:spacing w:after="160" w:line="240" w:lineRule="exact"/>
    </w:pPr>
    <w:rPr>
      <w:rFonts w:ascii="Verdana" w:hAnsi="Verdana" w:cs="Verdana"/>
      <w:sz w:val="20"/>
      <w:szCs w:val="20"/>
      <w:lang w:eastAsia="en-US"/>
    </w:rPr>
  </w:style>
  <w:style w:type="paragraph" w:customStyle="1" w:styleId="65">
    <w:name w:val="Char Char Char (文字) (文字) Char (文字) (文字) Char Char Char (文字) (文字) Char Char Char Char Char Char Char Char Char1"/>
    <w:basedOn w:val="1"/>
    <w:qFormat/>
    <w:uiPriority w:val="0"/>
    <w:pPr>
      <w:spacing w:after="160" w:line="240" w:lineRule="exact"/>
    </w:pPr>
    <w:rPr>
      <w:rFonts w:ascii="Verdana" w:hAnsi="Verdana" w:cs="Verdana"/>
      <w:color w:val="000000"/>
      <w:sz w:val="20"/>
      <w:szCs w:val="20"/>
      <w:lang w:eastAsia="en-US"/>
    </w:rPr>
  </w:style>
  <w:style w:type="paragraph" w:customStyle="1" w:styleId="66">
    <w:name w:val="Char Char Char Char Char Char Char1"/>
    <w:basedOn w:val="1"/>
    <w:qFormat/>
    <w:uiPriority w:val="0"/>
    <w:rPr>
      <w:rFonts w:ascii="Tahoma" w:hAnsi="Tahoma"/>
      <w:sz w:val="24"/>
    </w:rPr>
  </w:style>
  <w:style w:type="paragraph" w:customStyle="1" w:styleId="67">
    <w:name w:val="Char Char Char1"/>
    <w:basedOn w:val="1"/>
    <w:qFormat/>
    <w:uiPriority w:val="0"/>
    <w:rPr>
      <w:rFonts w:ascii="Tahoma" w:hAnsi="Tahoma"/>
      <w:sz w:val="24"/>
      <w:szCs w:val="20"/>
    </w:rPr>
  </w:style>
  <w:style w:type="paragraph" w:customStyle="1" w:styleId="68">
    <w:name w:val="_Style 12"/>
    <w:basedOn w:val="1"/>
    <w:next w:val="14"/>
    <w:qFormat/>
    <w:uiPriority w:val="0"/>
    <w:pPr>
      <w:ind w:firstLine="540" w:firstLineChars="225"/>
    </w:pPr>
    <w:rPr>
      <w:sz w:val="24"/>
    </w:rPr>
  </w:style>
  <w:style w:type="paragraph" w:customStyle="1" w:styleId="69">
    <w:name w:val="Char1"/>
    <w:basedOn w:val="11"/>
    <w:qFormat/>
    <w:uiPriority w:val="0"/>
    <w:pPr>
      <w:widowControl/>
      <w:ind w:firstLine="454"/>
      <w:jc w:val="left"/>
    </w:pPr>
    <w:rPr>
      <w:rFonts w:ascii="Tahoma" w:hAnsi="Tahoma" w:cs="宋体"/>
      <w:kern w:val="0"/>
      <w:szCs w:val="20"/>
    </w:rPr>
  </w:style>
  <w:style w:type="table" w:customStyle="1" w:styleId="70">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71">
    <w:name w:val="p0"/>
    <w:basedOn w:val="1"/>
    <w:qFormat/>
    <w:uiPriority w:val="0"/>
    <w:pPr>
      <w:widowControl/>
      <w:spacing w:line="500" w:lineRule="atLeast"/>
      <w:ind w:firstLine="420"/>
    </w:pPr>
    <w:rPr>
      <w:kern w:val="0"/>
      <w:szCs w:val="21"/>
    </w:rPr>
  </w:style>
  <w:style w:type="character" w:customStyle="1" w:styleId="72">
    <w:name w:val="日期 Char1"/>
    <w:semiHidden/>
    <w:qFormat/>
    <w:uiPriority w:val="99"/>
    <w:rPr>
      <w:sz w:val="21"/>
    </w:rPr>
  </w:style>
  <w:style w:type="character" w:customStyle="1" w:styleId="73">
    <w:name w:val="列出段落 Char"/>
    <w:qFormat/>
    <w:locked/>
    <w:uiPriority w:val="34"/>
    <w:rPr>
      <w:rFonts w:ascii="Calibri" w:hAnsi="Calibri"/>
      <w:kern w:val="2"/>
      <w:sz w:val="21"/>
      <w:szCs w:val="22"/>
    </w:rPr>
  </w:style>
  <w:style w:type="paragraph" w:styleId="74">
    <w:name w:val="List Paragraph"/>
    <w:basedOn w:val="1"/>
    <w:qFormat/>
    <w:uiPriority w:val="99"/>
    <w:pPr>
      <w:ind w:firstLine="420" w:firstLineChars="200"/>
    </w:pPr>
  </w:style>
  <w:style w:type="paragraph" w:customStyle="1" w:styleId="7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50)正文图编号及图题"/>
    <w:next w:val="1"/>
    <w:qFormat/>
    <w:uiPriority w:val="0"/>
    <w:pPr>
      <w:numPr>
        <w:ilvl w:val="0"/>
        <w:numId w:val="3"/>
      </w:numPr>
      <w:tabs>
        <w:tab w:val="left" w:pos="567"/>
      </w:tabs>
      <w:spacing w:line="300" w:lineRule="auto"/>
      <w:jc w:val="center"/>
    </w:pPr>
    <w:rPr>
      <w:rFonts w:ascii="黑体" w:hAnsi="Times New Roman" w:eastAsia="黑体" w:cs="Times New Roman"/>
      <w:sz w:val="28"/>
      <w:lang w:val="en-US" w:eastAsia="zh-CN" w:bidi="ar-SA"/>
    </w:rPr>
  </w:style>
  <w:style w:type="character" w:customStyle="1" w:styleId="77">
    <w:name w:val="fontstyle01"/>
    <w:basedOn w:val="30"/>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numbering" Target="numbering.xml"/><Relationship Id="rId43" Type="http://schemas.openxmlformats.org/officeDocument/2006/relationships/theme" Target="theme/theme1.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footer" Target="footer2.xml"/><Relationship Id="rId39" Type="http://schemas.openxmlformats.org/officeDocument/2006/relationships/header" Target="header18.xml"/><Relationship Id="rId38" Type="http://schemas.openxmlformats.org/officeDocument/2006/relationships/header" Target="header17.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3666B-E1AB-4AC2-A337-17A8DF59BB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2517</Words>
  <Characters>14349</Characters>
  <Lines>119</Lines>
  <Paragraphs>33</Paragraphs>
  <TotalTime>164</TotalTime>
  <ScaleCrop>false</ScaleCrop>
  <LinksUpToDate>false</LinksUpToDate>
  <CharactersWithSpaces>16833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2025-01-14T01:27:00Z</dcterms:created>
  <dc:creator>zbww</dc:creator>
  <cp:lastModifiedBy>59202198</cp:lastModifiedBy>
  <cp:lastPrinted>2014-07-04T01:51:00Z</cp:lastPrinted>
  <dcterms:modified xsi:type="dcterms:W3CDTF">2025-07-31T02:07:02Z</dcterms:modified>
  <dc:title>招 标 文 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F04A14582D754623B73ACED94092D62F</vt:lpwstr>
  </property>
</Properties>
</file>